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B2A275" w14:textId="194306CA" w:rsidR="00D60854" w:rsidRPr="00B36F94" w:rsidRDefault="00D60854" w:rsidP="00D60854">
      <w:pPr>
        <w:tabs>
          <w:tab w:val="center" w:pos="4536"/>
          <w:tab w:val="right" w:pos="7938"/>
          <w:tab w:val="right" w:pos="9639"/>
        </w:tabs>
        <w:autoSpaceDE/>
        <w:autoSpaceDN/>
        <w:adjustRightInd/>
        <w:snapToGrid/>
        <w:spacing w:after="180"/>
        <w:ind w:right="2"/>
        <w:jc w:val="left"/>
        <w:rPr>
          <w:rFonts w:eastAsia="MS Mincho"/>
          <w:b/>
          <w:bCs/>
          <w:sz w:val="28"/>
          <w:szCs w:val="20"/>
          <w:lang w:val="en-GB"/>
        </w:rPr>
      </w:pPr>
      <w:r w:rsidRPr="00D60854">
        <w:rPr>
          <w:rFonts w:ascii="Arial" w:eastAsia="MS Mincho" w:hAnsi="Arial" w:cs="Arial"/>
          <w:b/>
          <w:bCs/>
          <w:sz w:val="28"/>
          <w:szCs w:val="20"/>
          <w:lang w:val="en-GB"/>
        </w:rPr>
        <w:t>3GPP TSG RAN WG1 #112bis-e</w:t>
      </w:r>
      <w:r>
        <w:rPr>
          <w:rFonts w:ascii="Arial" w:eastAsia="MS Mincho" w:hAnsi="Arial" w:cs="Arial"/>
          <w:b/>
          <w:bCs/>
          <w:sz w:val="28"/>
          <w:szCs w:val="20"/>
          <w:lang w:val="en-GB"/>
        </w:rPr>
        <w:tab/>
      </w:r>
      <w:r>
        <w:rPr>
          <w:rFonts w:ascii="Arial" w:eastAsia="MS Mincho" w:hAnsi="Arial" w:cs="Arial"/>
          <w:b/>
          <w:bCs/>
          <w:sz w:val="28"/>
          <w:szCs w:val="20"/>
          <w:lang w:val="en-GB"/>
        </w:rPr>
        <w:tab/>
        <w:t xml:space="preserve">                                        </w:t>
      </w:r>
      <w:r w:rsidRPr="00B36F94">
        <w:rPr>
          <w:rFonts w:eastAsia="MS Mincho"/>
          <w:b/>
          <w:bCs/>
          <w:sz w:val="28"/>
          <w:szCs w:val="20"/>
          <w:lang w:val="en-GB"/>
        </w:rPr>
        <w:t xml:space="preserve"> R1-</w:t>
      </w:r>
      <w:r w:rsidR="0002046F" w:rsidRPr="00B36F94">
        <w:rPr>
          <w:rFonts w:eastAsia="MS Mincho"/>
          <w:b/>
          <w:bCs/>
          <w:sz w:val="28"/>
          <w:szCs w:val="20"/>
          <w:lang w:val="en-GB"/>
        </w:rPr>
        <w:t>2302624</w:t>
      </w:r>
      <w:r w:rsidRPr="00B36F94">
        <w:rPr>
          <w:rFonts w:eastAsia="MS Mincho"/>
          <w:b/>
          <w:bCs/>
          <w:sz w:val="28"/>
          <w:szCs w:val="20"/>
          <w:lang w:val="en-GB"/>
        </w:rPr>
        <w:t xml:space="preserve"> </w:t>
      </w:r>
    </w:p>
    <w:p w14:paraId="1A6D610A" w14:textId="77777777" w:rsidR="00B36F94" w:rsidRPr="001270B0" w:rsidRDefault="00B36F94" w:rsidP="00B36F94">
      <w:pPr>
        <w:tabs>
          <w:tab w:val="center" w:pos="4536"/>
          <w:tab w:val="right" w:pos="9072"/>
        </w:tabs>
        <w:rPr>
          <w:b/>
          <w:bCs/>
          <w:sz w:val="28"/>
          <w:lang w:eastAsia="ja-JP"/>
        </w:rPr>
      </w:pPr>
      <w:r w:rsidRPr="001270B0">
        <w:rPr>
          <w:rFonts w:eastAsia="MS Mincho"/>
          <w:b/>
          <w:bCs/>
          <w:sz w:val="28"/>
          <w:lang w:eastAsia="ja-JP"/>
        </w:rPr>
        <w:t>e-meeting, April 17</w:t>
      </w:r>
      <w:r w:rsidRPr="001270B0">
        <w:rPr>
          <w:rFonts w:eastAsia="MS Mincho"/>
          <w:b/>
          <w:bCs/>
          <w:sz w:val="28"/>
          <w:vertAlign w:val="superscript"/>
          <w:lang w:eastAsia="ja-JP"/>
        </w:rPr>
        <w:t>th</w:t>
      </w:r>
      <w:r w:rsidRPr="001270B0">
        <w:rPr>
          <w:rFonts w:eastAsia="MS Mincho"/>
          <w:b/>
          <w:bCs/>
          <w:sz w:val="28"/>
          <w:lang w:eastAsia="ja-JP"/>
        </w:rPr>
        <w:t xml:space="preserve"> – April 26</w:t>
      </w:r>
      <w:r w:rsidRPr="001270B0">
        <w:rPr>
          <w:rFonts w:eastAsia="MS Mincho"/>
          <w:b/>
          <w:bCs/>
          <w:sz w:val="28"/>
          <w:vertAlign w:val="superscript"/>
          <w:lang w:eastAsia="ja-JP"/>
        </w:rPr>
        <w:t>th</w:t>
      </w:r>
      <w:r w:rsidRPr="001270B0">
        <w:rPr>
          <w:rFonts w:eastAsia="MS Mincho"/>
          <w:b/>
          <w:bCs/>
          <w:sz w:val="28"/>
          <w:lang w:eastAsia="ja-JP"/>
        </w:rPr>
        <w:t>, 2023</w:t>
      </w:r>
    </w:p>
    <w:p w14:paraId="713079EC" w14:textId="77777777" w:rsidR="00B36F94" w:rsidRPr="00C81871" w:rsidRDefault="00B36F94" w:rsidP="00B36F94">
      <w:pPr>
        <w:pBdr>
          <w:top w:val="single" w:sz="4" w:space="0" w:color="auto"/>
        </w:pBdr>
        <w:spacing w:after="0"/>
        <w:rPr>
          <w:b/>
          <w:bCs/>
          <w:sz w:val="16"/>
          <w:szCs w:val="16"/>
          <w:highlight w:val="yellow"/>
        </w:rPr>
      </w:pPr>
    </w:p>
    <w:p w14:paraId="6BC242E6" w14:textId="28BC36CA" w:rsidR="00B36F94" w:rsidRPr="00C81871" w:rsidRDefault="00B36F94" w:rsidP="00B36F94">
      <w:pPr>
        <w:spacing w:after="60"/>
        <w:ind w:left="1555" w:hanging="1555"/>
        <w:rPr>
          <w:b/>
          <w:lang w:eastAsia="zh-CN"/>
        </w:rPr>
      </w:pPr>
      <w:r w:rsidRPr="00C81871">
        <w:rPr>
          <w:b/>
        </w:rPr>
        <w:t>Agenda Item:</w:t>
      </w:r>
      <w:r w:rsidRPr="00C81871">
        <w:rPr>
          <w:b/>
        </w:rPr>
        <w:tab/>
        <w:t>9.</w:t>
      </w:r>
      <w:r>
        <w:rPr>
          <w:b/>
        </w:rPr>
        <w:t>12</w:t>
      </w:r>
      <w:r w:rsidRPr="00C81871">
        <w:rPr>
          <w:b/>
        </w:rPr>
        <w:t>.</w:t>
      </w:r>
      <w:r>
        <w:rPr>
          <w:b/>
        </w:rPr>
        <w:t>2</w:t>
      </w:r>
    </w:p>
    <w:p w14:paraId="26C662E2" w14:textId="77777777" w:rsidR="001B1492" w:rsidRPr="001B1492" w:rsidRDefault="001B1492" w:rsidP="001B1492">
      <w:pPr>
        <w:tabs>
          <w:tab w:val="left" w:pos="1555"/>
        </w:tabs>
        <w:autoSpaceDE/>
        <w:autoSpaceDN/>
        <w:adjustRightInd/>
        <w:snapToGrid/>
        <w:spacing w:after="180"/>
        <w:rPr>
          <w:rFonts w:eastAsia="MS Mincho"/>
          <w:b/>
          <w:noProof/>
        </w:rPr>
      </w:pPr>
      <w:r w:rsidRPr="001B1492">
        <w:rPr>
          <w:rFonts w:eastAsia="MS Mincho"/>
          <w:b/>
          <w:noProof/>
        </w:rPr>
        <w:t xml:space="preserve">Source: </w:t>
      </w:r>
      <w:r w:rsidRPr="001B1492">
        <w:rPr>
          <w:rFonts w:eastAsia="MS Mincho"/>
          <w:b/>
          <w:noProof/>
        </w:rPr>
        <w:tab/>
        <w:t>Spreadtrum Communications</w:t>
      </w:r>
    </w:p>
    <w:p w14:paraId="23CC3ADD" w14:textId="7FADD0DC" w:rsidR="001B1492" w:rsidRPr="001B1492" w:rsidRDefault="001B1492" w:rsidP="001B1492">
      <w:pPr>
        <w:tabs>
          <w:tab w:val="left" w:pos="1555"/>
        </w:tabs>
        <w:autoSpaceDE/>
        <w:autoSpaceDN/>
        <w:adjustRightInd/>
        <w:snapToGrid/>
        <w:spacing w:after="180"/>
        <w:ind w:left="568" w:hanging="568"/>
        <w:rPr>
          <w:rFonts w:eastAsia="MS Mincho"/>
          <w:b/>
          <w:noProof/>
        </w:rPr>
      </w:pPr>
      <w:r w:rsidRPr="001B1492">
        <w:rPr>
          <w:rFonts w:eastAsia="MS Mincho"/>
          <w:b/>
          <w:noProof/>
        </w:rPr>
        <w:t xml:space="preserve">Title: </w:t>
      </w:r>
      <w:r w:rsidRPr="001B1492">
        <w:rPr>
          <w:rFonts w:eastAsia="MS Mincho"/>
          <w:b/>
          <w:noProof/>
        </w:rPr>
        <w:tab/>
      </w:r>
      <w:bookmarkStart w:id="0" w:name="OLE_LINK46"/>
      <w:bookmarkStart w:id="1" w:name="OLE_LINK3"/>
      <w:r w:rsidR="0002046F" w:rsidRPr="0002046F">
        <w:rPr>
          <w:rFonts w:eastAsia="MS Mincho"/>
          <w:b/>
          <w:noProof/>
        </w:rPr>
        <w:t>Discussion on power domain enhancements</w:t>
      </w:r>
    </w:p>
    <w:bookmarkEnd w:id="0"/>
    <w:bookmarkEnd w:id="1"/>
    <w:p w14:paraId="6CFB040D" w14:textId="77777777" w:rsidR="001B1492" w:rsidRPr="001B1492" w:rsidRDefault="001B1492" w:rsidP="001B1492">
      <w:pPr>
        <w:tabs>
          <w:tab w:val="left" w:pos="1555"/>
        </w:tabs>
        <w:autoSpaceDE/>
        <w:autoSpaceDN/>
        <w:adjustRightInd/>
        <w:snapToGrid/>
        <w:spacing w:after="180"/>
        <w:rPr>
          <w:rFonts w:eastAsia="MS Mincho"/>
          <w:b/>
          <w:noProof/>
        </w:rPr>
      </w:pPr>
      <w:r w:rsidRPr="001B1492">
        <w:rPr>
          <w:rFonts w:eastAsia="MS Mincho"/>
          <w:b/>
          <w:noProof/>
        </w:rPr>
        <w:t>Document for:</w:t>
      </w:r>
      <w:r w:rsidRPr="001B1492">
        <w:rPr>
          <w:rFonts w:eastAsia="MS Mincho"/>
          <w:b/>
          <w:noProof/>
        </w:rPr>
        <w:tab/>
      </w:r>
      <w:bookmarkStart w:id="2" w:name="DocumentFor"/>
      <w:bookmarkEnd w:id="2"/>
      <w:r w:rsidRPr="001B1492">
        <w:rPr>
          <w:rFonts w:eastAsia="MS Mincho"/>
          <w:b/>
          <w:noProof/>
        </w:rPr>
        <w:t>Discussion and decision</w:t>
      </w:r>
    </w:p>
    <w:p w14:paraId="2B35C7B9" w14:textId="77777777" w:rsidR="00B36F94" w:rsidRPr="00C81871" w:rsidRDefault="00B36F94" w:rsidP="00B36F94">
      <w:pPr>
        <w:pBdr>
          <w:bottom w:val="single" w:sz="4" w:space="1" w:color="auto"/>
        </w:pBdr>
        <w:spacing w:after="0"/>
        <w:rPr>
          <w:b/>
          <w:sz w:val="16"/>
          <w:szCs w:val="16"/>
        </w:rPr>
      </w:pPr>
      <w:bookmarkStart w:id="3" w:name="_Ref494215420"/>
    </w:p>
    <w:p w14:paraId="493BC492" w14:textId="77777777" w:rsidR="00B36F94" w:rsidRPr="00C81871" w:rsidRDefault="00B36F94" w:rsidP="00B36F94">
      <w:pPr>
        <w:pStyle w:val="1"/>
        <w:rPr>
          <w:lang w:eastAsia="zh-CN"/>
        </w:rPr>
      </w:pPr>
      <w:r w:rsidRPr="00C81871">
        <w:rPr>
          <w:lang w:eastAsia="zh-CN"/>
        </w:rPr>
        <w:t>Introduction</w:t>
      </w:r>
    </w:p>
    <w:p w14:paraId="1CD2924B" w14:textId="06B5ECCB" w:rsidR="0002046F" w:rsidRPr="001B08EF" w:rsidRDefault="0002046F" w:rsidP="0002046F">
      <w:pPr>
        <w:rPr>
          <w:rFonts w:eastAsia="宋体"/>
          <w:lang w:eastAsia="zh-CN"/>
        </w:rPr>
      </w:pPr>
      <w:r w:rsidRPr="001B08EF">
        <w:rPr>
          <w:rFonts w:eastAsia="宋体"/>
          <w:lang w:eastAsia="zh-CN"/>
        </w:rPr>
        <w:t>In RAN#96 meeting, a revised Work Item [1] was agreed to study power domain enhancement for UL coverage enhancement.</w:t>
      </w:r>
    </w:p>
    <w:p w14:paraId="554308A8" w14:textId="77777777" w:rsidR="0002046F" w:rsidRPr="001B08EF" w:rsidRDefault="0002046F" w:rsidP="0002046F">
      <w:pPr>
        <w:rPr>
          <w:lang w:eastAsia="ja-JP"/>
        </w:rPr>
      </w:pPr>
      <w:r w:rsidRPr="001B08EF">
        <w:rPr>
          <w:rFonts w:eastAsia="宋体"/>
          <w:lang w:eastAsia="zh-CN"/>
        </w:rPr>
        <w:t>This contribution provides our further considerations on</w:t>
      </w:r>
      <w:r w:rsidRPr="001B08EF">
        <w:t xml:space="preserve"> </w:t>
      </w:r>
      <w:r w:rsidRPr="001B08EF">
        <w:rPr>
          <w:rFonts w:eastAsia="宋体"/>
        </w:rPr>
        <w:t xml:space="preserve">power domain enhancements for UL coverage enhancement based on the </w:t>
      </w:r>
      <w:r w:rsidRPr="001B08EF">
        <w:rPr>
          <w:rFonts w:eastAsia="宋体"/>
          <w:lang w:eastAsia="zh-CN"/>
        </w:rPr>
        <w:t>agreements achieved during RAN1#11</w:t>
      </w:r>
      <w:r>
        <w:rPr>
          <w:rFonts w:eastAsia="宋体" w:hint="eastAsia"/>
          <w:lang w:eastAsia="zh-CN"/>
        </w:rPr>
        <w:t>2</w:t>
      </w:r>
      <w:r>
        <w:rPr>
          <w:rFonts w:eastAsia="宋体"/>
          <w:lang w:eastAsia="zh-CN"/>
        </w:rPr>
        <w:t xml:space="preserve"> meeting [2][3]</w:t>
      </w:r>
      <w:r w:rsidRPr="001B08EF">
        <w:rPr>
          <w:rFonts w:eastAsia="宋体"/>
          <w:lang w:eastAsia="zh-CN"/>
        </w:rPr>
        <w:t>.</w:t>
      </w:r>
    </w:p>
    <w:p w14:paraId="5B59181D" w14:textId="6646BCE1" w:rsidR="0002046F" w:rsidRDefault="0002046F" w:rsidP="0002046F">
      <w:pPr>
        <w:tabs>
          <w:tab w:val="center" w:pos="4536"/>
          <w:tab w:val="right" w:pos="7938"/>
          <w:tab w:val="right" w:pos="9639"/>
        </w:tabs>
        <w:ind w:right="2"/>
        <w:rPr>
          <w:lang w:eastAsia="zh-CN"/>
        </w:rPr>
      </w:pPr>
    </w:p>
    <w:p w14:paraId="207CE8E0" w14:textId="3F94FEAF" w:rsidR="0002046F" w:rsidRPr="0002046F" w:rsidRDefault="0002046F" w:rsidP="0002046F">
      <w:pPr>
        <w:pStyle w:val="1"/>
        <w:rPr>
          <w:lang w:eastAsia="zh-CN"/>
        </w:rPr>
      </w:pPr>
      <w:r>
        <w:rPr>
          <w:lang w:eastAsia="zh-CN"/>
        </w:rPr>
        <w:t>Discussion</w:t>
      </w:r>
    </w:p>
    <w:p w14:paraId="42C8E239" w14:textId="3B820972" w:rsidR="0002046F" w:rsidRPr="0002046F" w:rsidRDefault="0002046F" w:rsidP="0002046F">
      <w:pPr>
        <w:rPr>
          <w:rFonts w:eastAsia="MS Mincho"/>
          <w:lang w:eastAsia="ja-JP"/>
        </w:rPr>
      </w:pPr>
      <w:r w:rsidRPr="009B08CF">
        <w:rPr>
          <w:lang w:eastAsia="ja-JP"/>
        </w:rPr>
        <w:t xml:space="preserve">Power domain enhancement is an important component for UL coverage studies. Especially, low MPR is an essential issue in UL DFT-s-OFDM with prioritization of the provision of wide area coverage. </w:t>
      </w:r>
    </w:p>
    <w:p w14:paraId="1BA84192" w14:textId="5E63D26B" w:rsidR="005E48E4" w:rsidRPr="001B1492" w:rsidRDefault="0002046F" w:rsidP="0002046F">
      <w:pPr>
        <w:pStyle w:val="2"/>
        <w:rPr>
          <w:lang w:val="en-GB" w:eastAsia="zh-CN"/>
        </w:rPr>
      </w:pPr>
      <w:r w:rsidRPr="0002046F">
        <w:rPr>
          <w:lang w:val="en-GB" w:eastAsia="zh-CN"/>
        </w:rPr>
        <w:t>Enhancements for reducing MPR/PAR</w:t>
      </w:r>
    </w:p>
    <w:p w14:paraId="641F1DFD" w14:textId="3369EA7A" w:rsidR="008B760B" w:rsidRDefault="0002046F" w:rsidP="0002046F">
      <w:pPr>
        <w:pStyle w:val="3"/>
        <w:rPr>
          <w:lang w:eastAsia="zh-CN"/>
        </w:rPr>
      </w:pPr>
      <w:r w:rsidRPr="0002046F">
        <w:rPr>
          <w:lang w:eastAsia="zh-CN"/>
        </w:rPr>
        <w:t>Frequency Domain Spectral Shaping with spectrum extension</w:t>
      </w:r>
    </w:p>
    <w:p w14:paraId="15435288" w14:textId="77777777" w:rsidR="0002046F" w:rsidRPr="0002046F" w:rsidRDefault="0002046F" w:rsidP="0002046F">
      <w:pPr>
        <w:autoSpaceDE/>
        <w:autoSpaceDN/>
        <w:adjustRightInd/>
        <w:snapToGrid/>
        <w:rPr>
          <w:rFonts w:eastAsia="宋体"/>
          <w:sz w:val="20"/>
          <w:szCs w:val="20"/>
          <w:lang w:val="en-GB" w:eastAsia="zh-CN"/>
        </w:rPr>
      </w:pPr>
      <w:r w:rsidRPr="0002046F">
        <w:rPr>
          <w:rFonts w:eastAsia="MS Mincho"/>
          <w:lang w:val="en-GB"/>
        </w:rPr>
        <w:t>At RAN#111 meeting</w:t>
      </w:r>
      <w:r w:rsidRPr="0002046F">
        <w:rPr>
          <w:rFonts w:eastAsia="宋体"/>
          <w:lang w:val="en-GB" w:eastAsia="zh-CN"/>
        </w:rPr>
        <w:t>, considering that currently only symmetric extension case is considered by RAN4, it was proposed that at least symmetric extension options could be considered in the study. Figure 2 illustrates the main procedure of FDSS with spectrum extension using symmetric extension. Basically, FDSS with spectrum extension decreases the bandw</w:t>
      </w:r>
      <w:r w:rsidRPr="0002046F">
        <w:rPr>
          <w:rFonts w:eastAsia="宋体"/>
          <w:color w:val="000000"/>
          <w:lang w:val="en-GB" w:eastAsia="zh-CN"/>
        </w:rPr>
        <w:t>idth efficiency, due to the frequency resources required is larger than the actual needed for DFT-s-OFDM FDSS</w:t>
      </w:r>
      <w:r w:rsidRPr="0002046F">
        <w:rPr>
          <w:rFonts w:eastAsia="宋体"/>
          <w:lang w:val="en-GB" w:eastAsia="zh-CN"/>
        </w:rPr>
        <w:t xml:space="preserve"> without spectrum extension. </w:t>
      </w:r>
      <w:r w:rsidRPr="0002046F">
        <w:rPr>
          <w:rFonts w:eastAsia="MS Mincho"/>
          <w:lang w:val="en-GB"/>
        </w:rPr>
        <w:t>It</w:t>
      </w:r>
      <w:r w:rsidRPr="0002046F">
        <w:rPr>
          <w:rFonts w:eastAsia="MS Mincho" w:hint="eastAsia"/>
          <w:lang w:val="en-GB"/>
        </w:rPr>
        <w:t xml:space="preserve"> can </w:t>
      </w:r>
      <w:r w:rsidRPr="0002046F">
        <w:rPr>
          <w:rFonts w:eastAsia="MS Mincho"/>
          <w:lang w:val="en-GB"/>
        </w:rPr>
        <w:t>copy</w:t>
      </w:r>
      <w:r w:rsidRPr="0002046F">
        <w:rPr>
          <w:rFonts w:eastAsia="MS Mincho" w:hint="eastAsia"/>
          <w:lang w:val="en-GB"/>
        </w:rPr>
        <w:t xml:space="preserve"> </w:t>
      </w:r>
      <w:r w:rsidRPr="0002046F">
        <w:rPr>
          <w:rFonts w:eastAsia="MS Mincho"/>
          <w:lang w:val="en-GB"/>
        </w:rPr>
        <w:t>N</w:t>
      </w:r>
      <w:r w:rsidRPr="0002046F">
        <w:rPr>
          <w:rFonts w:eastAsia="MS Mincho" w:hint="eastAsia"/>
          <w:lang w:val="en-GB"/>
        </w:rPr>
        <w:t>-DFT-precoded data (K-</w:t>
      </w:r>
      <w:r w:rsidRPr="0002046F">
        <w:rPr>
          <w:rFonts w:eastAsia="MS Mincho"/>
          <w:lang w:val="en-GB"/>
        </w:rPr>
        <w:t>N</w:t>
      </w:r>
      <w:r w:rsidRPr="0002046F">
        <w:rPr>
          <w:rFonts w:eastAsia="MS Mincho" w:hint="eastAsia"/>
          <w:lang w:val="en-GB"/>
        </w:rPr>
        <w:t>)/2 samples from the beginning and appending them to the end and copy (K-</w:t>
      </w:r>
      <w:r w:rsidRPr="0002046F">
        <w:rPr>
          <w:rFonts w:eastAsia="MS Mincho"/>
          <w:lang w:val="en-GB"/>
        </w:rPr>
        <w:t>N</w:t>
      </w:r>
      <w:r w:rsidRPr="0002046F">
        <w:rPr>
          <w:rFonts w:eastAsia="MS Mincho" w:hint="eastAsia"/>
          <w:lang w:val="en-GB"/>
        </w:rPr>
        <w:t xml:space="preserve">)/2 samples from the end and appending them to the beginning. K spectrum </w:t>
      </w:r>
      <w:r w:rsidRPr="0002046F">
        <w:rPr>
          <w:rFonts w:eastAsia="MS Mincho"/>
          <w:lang w:val="en-GB"/>
        </w:rPr>
        <w:t xml:space="preserve">extension </w:t>
      </w:r>
      <w:r w:rsidRPr="0002046F">
        <w:rPr>
          <w:rFonts w:eastAsia="MS Mincho" w:hint="eastAsia"/>
          <w:lang w:val="en-GB"/>
        </w:rPr>
        <w:t xml:space="preserve">coefficients </w:t>
      </w:r>
      <w:r w:rsidRPr="0002046F">
        <w:rPr>
          <w:rFonts w:eastAsia="MS Mincho"/>
          <w:lang w:val="en-GB"/>
        </w:rPr>
        <w:t>can be</w:t>
      </w:r>
      <w:r w:rsidRPr="0002046F">
        <w:rPr>
          <w:rFonts w:eastAsia="MS Mincho" w:hint="eastAsia"/>
          <w:lang w:val="en-GB"/>
        </w:rPr>
        <w:t xml:space="preserve"> multiplied with </w:t>
      </w:r>
      <w:r w:rsidRPr="0002046F">
        <w:rPr>
          <w:rFonts w:eastAsia="MS Mincho"/>
          <w:lang w:val="en-GB"/>
        </w:rPr>
        <w:t>DFT-precoded data</w:t>
      </w:r>
      <w:r w:rsidRPr="0002046F">
        <w:rPr>
          <w:rFonts w:eastAsia="MS Mincho" w:hint="eastAsia"/>
          <w:lang w:val="en-GB"/>
        </w:rPr>
        <w:t>.</w:t>
      </w:r>
      <w:r w:rsidRPr="0002046F">
        <w:rPr>
          <w:rFonts w:eastAsia="MS Mincho"/>
          <w:lang w:val="en-GB"/>
        </w:rPr>
        <w:t xml:space="preserve"> </w:t>
      </w:r>
    </w:p>
    <w:p w14:paraId="52C1DCEF" w14:textId="77777777" w:rsidR="0002046F" w:rsidRPr="0002046F" w:rsidRDefault="0002046F" w:rsidP="0002046F">
      <w:pPr>
        <w:autoSpaceDE/>
        <w:autoSpaceDN/>
        <w:adjustRightInd/>
        <w:snapToGrid/>
        <w:spacing w:after="180"/>
        <w:jc w:val="center"/>
        <w:rPr>
          <w:rFonts w:eastAsia="MS Mincho"/>
          <w:sz w:val="20"/>
          <w:szCs w:val="20"/>
          <w:lang w:val="en-GB"/>
        </w:rPr>
      </w:pPr>
      <w:r w:rsidRPr="0002046F">
        <w:rPr>
          <w:rFonts w:eastAsia="MS Mincho"/>
          <w:sz w:val="20"/>
          <w:szCs w:val="20"/>
          <w:lang w:val="en-GB"/>
        </w:rPr>
        <w:object w:dxaOrig="8051" w:dyaOrig="2381" w14:anchorId="059A8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20.1pt" o:ole="">
            <v:imagedata r:id="rId8" o:title=""/>
          </v:shape>
          <o:OLEObject Type="Embed" ProgID="Visio.Drawing.15" ShapeID="_x0000_i1025" DrawAspect="Content" ObjectID="_1742401687" r:id="rId9"/>
        </w:object>
      </w:r>
    </w:p>
    <w:p w14:paraId="72459922" w14:textId="77777777" w:rsidR="0002046F" w:rsidRPr="0002046F" w:rsidRDefault="0002046F" w:rsidP="0002046F">
      <w:pPr>
        <w:autoSpaceDE/>
        <w:autoSpaceDN/>
        <w:adjustRightInd/>
        <w:snapToGrid/>
        <w:spacing w:before="120"/>
        <w:jc w:val="center"/>
        <w:rPr>
          <w:rFonts w:eastAsia="MS Mincho" w:cs="Arial"/>
          <w:b/>
          <w:color w:val="000000"/>
          <w:sz w:val="20"/>
          <w:shd w:val="clear" w:color="auto" w:fill="FFFFFF"/>
          <w:lang w:val="en-GB"/>
        </w:rPr>
      </w:pPr>
      <w:r w:rsidRPr="0002046F">
        <w:rPr>
          <w:rFonts w:eastAsia="MS Mincho"/>
          <w:b/>
          <w:sz w:val="20"/>
          <w:szCs w:val="20"/>
          <w:lang w:val="en-GB"/>
        </w:rPr>
        <w:t xml:space="preserve">Figure </w:t>
      </w:r>
      <w:r w:rsidRPr="0002046F">
        <w:rPr>
          <w:rFonts w:eastAsia="MS Mincho"/>
          <w:b/>
          <w:sz w:val="20"/>
          <w:szCs w:val="20"/>
          <w:lang w:val="en-GB"/>
        </w:rPr>
        <w:fldChar w:fldCharType="begin"/>
      </w:r>
      <w:r w:rsidRPr="0002046F">
        <w:rPr>
          <w:rFonts w:eastAsia="MS Mincho"/>
          <w:b/>
          <w:sz w:val="20"/>
          <w:szCs w:val="20"/>
          <w:lang w:val="en-GB"/>
        </w:rPr>
        <w:instrText xml:space="preserve"> SEQ Figure \* ARABIC </w:instrText>
      </w:r>
      <w:r w:rsidRPr="0002046F">
        <w:rPr>
          <w:rFonts w:eastAsia="MS Mincho"/>
          <w:b/>
          <w:sz w:val="20"/>
          <w:szCs w:val="20"/>
          <w:lang w:val="en-GB"/>
        </w:rPr>
        <w:fldChar w:fldCharType="separate"/>
      </w:r>
      <w:r w:rsidRPr="0002046F">
        <w:rPr>
          <w:rFonts w:eastAsia="MS Mincho"/>
          <w:b/>
          <w:noProof/>
          <w:sz w:val="20"/>
          <w:szCs w:val="20"/>
          <w:lang w:val="en-GB"/>
        </w:rPr>
        <w:t>1</w:t>
      </w:r>
      <w:r w:rsidRPr="0002046F">
        <w:rPr>
          <w:rFonts w:eastAsia="MS Mincho"/>
          <w:b/>
          <w:sz w:val="20"/>
          <w:szCs w:val="20"/>
          <w:lang w:val="en-GB"/>
        </w:rPr>
        <w:fldChar w:fldCharType="end"/>
      </w:r>
      <w:r w:rsidRPr="0002046F">
        <w:rPr>
          <w:rFonts w:eastAsia="MS Mincho"/>
          <w:b/>
          <w:sz w:val="20"/>
          <w:szCs w:val="20"/>
          <w:lang w:val="en-GB"/>
        </w:rPr>
        <w:t xml:space="preserve">: </w:t>
      </w:r>
      <w:r w:rsidRPr="0002046F">
        <w:rPr>
          <w:rFonts w:eastAsia="MS Mincho" w:cs="Arial"/>
          <w:b/>
          <w:color w:val="000000"/>
          <w:sz w:val="20"/>
          <w:shd w:val="clear" w:color="auto" w:fill="FFFFFF"/>
          <w:lang w:val="en-GB"/>
        </w:rPr>
        <w:t>FDSS with spectrum extension</w:t>
      </w:r>
    </w:p>
    <w:p w14:paraId="7310A529" w14:textId="77777777" w:rsidR="0002046F" w:rsidRPr="0002046F" w:rsidRDefault="0002046F" w:rsidP="0002046F">
      <w:pPr>
        <w:autoSpaceDE/>
        <w:autoSpaceDN/>
        <w:adjustRightInd/>
        <w:snapToGrid/>
        <w:spacing w:after="180"/>
        <w:jc w:val="left"/>
        <w:rPr>
          <w:rFonts w:eastAsia="MS Mincho"/>
          <w:b/>
          <w:szCs w:val="20"/>
          <w:u w:val="single"/>
          <w:lang w:val="en-GB" w:eastAsia="x-none"/>
        </w:rPr>
      </w:pPr>
      <w:r w:rsidRPr="0002046F">
        <w:rPr>
          <w:rFonts w:eastAsia="MS Mincho"/>
          <w:b/>
          <w:szCs w:val="20"/>
          <w:u w:val="single"/>
          <w:lang w:val="en-GB" w:eastAsia="x-none"/>
        </w:rPr>
        <w:t xml:space="preserve">PAPR of DMRS with FDSS-SE </w:t>
      </w:r>
    </w:p>
    <w:p w14:paraId="609D00D1" w14:textId="77777777" w:rsidR="0002046F" w:rsidRPr="0002046F" w:rsidRDefault="0002046F" w:rsidP="0002046F">
      <w:pPr>
        <w:autoSpaceDE/>
        <w:autoSpaceDN/>
        <w:adjustRightInd/>
        <w:snapToGrid/>
        <w:spacing w:after="180"/>
        <w:jc w:val="left"/>
        <w:rPr>
          <w:rFonts w:eastAsia="宋体"/>
          <w:lang w:val="en-GB" w:eastAsia="zh-CN"/>
        </w:rPr>
      </w:pPr>
      <w:r w:rsidRPr="0002046F">
        <w:rPr>
          <w:rFonts w:eastAsia="宋体"/>
          <w:lang w:val="en-GB" w:eastAsia="zh-CN"/>
        </w:rPr>
        <w:t xml:space="preserve">According to FDSS with spectrum extension, the following agreements were agreed for further study. </w:t>
      </w:r>
    </w:p>
    <w:tbl>
      <w:tblPr>
        <w:tblStyle w:val="TableGrid3"/>
        <w:tblW w:w="0" w:type="auto"/>
        <w:tblLook w:val="04A0" w:firstRow="1" w:lastRow="0" w:firstColumn="1" w:lastColumn="0" w:noHBand="0" w:noVBand="1"/>
      </w:tblPr>
      <w:tblGrid>
        <w:gridCol w:w="9307"/>
      </w:tblGrid>
      <w:tr w:rsidR="0002046F" w:rsidRPr="0002046F" w14:paraId="686CAC5A" w14:textId="77777777" w:rsidTr="0075718E">
        <w:tc>
          <w:tcPr>
            <w:tcW w:w="9630" w:type="dxa"/>
          </w:tcPr>
          <w:p w14:paraId="02353390" w14:textId="77777777" w:rsidR="0002046F" w:rsidRPr="0002046F" w:rsidRDefault="0002046F" w:rsidP="0002046F">
            <w:pPr>
              <w:autoSpaceDE/>
              <w:autoSpaceDN/>
              <w:adjustRightInd/>
              <w:snapToGrid/>
              <w:spacing w:before="120"/>
              <w:jc w:val="left"/>
              <w:rPr>
                <w:rFonts w:ascii="Times" w:eastAsia="Batang" w:hAnsi="Times"/>
                <w:b/>
                <w:bCs/>
                <w:highlight w:val="green"/>
              </w:rPr>
            </w:pPr>
            <w:r w:rsidRPr="0002046F">
              <w:rPr>
                <w:rFonts w:ascii="Times" w:eastAsia="Batang" w:hAnsi="Times"/>
                <w:b/>
                <w:bCs/>
                <w:highlight w:val="green"/>
              </w:rPr>
              <w:t>Agreement</w:t>
            </w:r>
          </w:p>
          <w:p w14:paraId="4E07C26D" w14:textId="77777777" w:rsidR="0002046F" w:rsidRPr="0002046F" w:rsidRDefault="0002046F" w:rsidP="0002046F">
            <w:pPr>
              <w:autoSpaceDE/>
              <w:autoSpaceDN/>
              <w:adjustRightInd/>
              <w:snapToGrid/>
              <w:spacing w:before="120"/>
              <w:jc w:val="left"/>
              <w:rPr>
                <w:rFonts w:ascii="Times" w:eastAsia="Batang" w:hAnsi="Times"/>
              </w:rPr>
            </w:pPr>
            <w:r w:rsidRPr="0002046F">
              <w:rPr>
                <w:rFonts w:ascii="Times" w:eastAsia="Batang" w:hAnsi="Times"/>
              </w:rPr>
              <w:lastRenderedPageBreak/>
              <w:t xml:space="preserve">If FDSS-SE is supported in Rel-18, RAN1 to further study the following approaches for DMRS, when the DMRS sequence length before extension of the sequence, if any, is larger than or equal to 30: </w:t>
            </w:r>
          </w:p>
          <w:p w14:paraId="1ABAA266" w14:textId="77777777" w:rsidR="0002046F" w:rsidRPr="0002046F" w:rsidRDefault="0002046F" w:rsidP="00283F57">
            <w:pPr>
              <w:numPr>
                <w:ilvl w:val="0"/>
                <w:numId w:val="15"/>
              </w:numPr>
              <w:autoSpaceDE/>
              <w:autoSpaceDN/>
              <w:adjustRightInd/>
              <w:snapToGrid/>
              <w:spacing w:before="120" w:after="180"/>
              <w:ind w:left="714"/>
              <w:contextualSpacing/>
              <w:jc w:val="left"/>
              <w:rPr>
                <w:rFonts w:ascii="Times" w:eastAsia="Batang" w:hAnsi="Times"/>
                <w:lang w:eastAsia="x-none"/>
              </w:rPr>
            </w:pPr>
            <w:r w:rsidRPr="0002046F">
              <w:rPr>
                <w:rFonts w:ascii="Times" w:eastAsia="Batang" w:hAnsi="Times"/>
                <w:lang w:eastAsia="x-none"/>
              </w:rPr>
              <w:t>Approach A – the DMRS sequence is extended: A DMRS sequence is generated considering the number of PRBs in the inband (no extension). The sequence length depends on the number of PRBs in the inband. Two sequence types can be considered:</w:t>
            </w:r>
          </w:p>
          <w:p w14:paraId="04F4E286" w14:textId="77777777" w:rsidR="0002046F" w:rsidRPr="0002046F" w:rsidRDefault="0002046F" w:rsidP="00283F57">
            <w:pPr>
              <w:numPr>
                <w:ilvl w:val="1"/>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A.1: The sequence is a Type 1 DMRS sequence.</w:t>
            </w:r>
          </w:p>
          <w:p w14:paraId="41A2DC63" w14:textId="77777777" w:rsidR="0002046F" w:rsidRPr="0002046F" w:rsidRDefault="0002046F" w:rsidP="00283F57">
            <w:pPr>
              <w:numPr>
                <w:ilvl w:val="1"/>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 xml:space="preserve">A.2: The sequence is a Type 2 DMRS sequence. </w:t>
            </w:r>
          </w:p>
          <w:p w14:paraId="1FED942A" w14:textId="77777777" w:rsidR="0002046F" w:rsidRPr="0002046F" w:rsidRDefault="0002046F" w:rsidP="0002046F">
            <w:pPr>
              <w:autoSpaceDE/>
              <w:autoSpaceDN/>
              <w:adjustRightInd/>
              <w:snapToGrid/>
              <w:spacing w:before="120"/>
              <w:ind w:left="568" w:firstLine="152"/>
              <w:jc w:val="left"/>
              <w:rPr>
                <w:rFonts w:ascii="Times" w:eastAsia="Batang" w:hAnsi="Times"/>
              </w:rPr>
            </w:pPr>
            <w:r w:rsidRPr="0002046F">
              <w:rPr>
                <w:rFonts w:ascii="Times" w:eastAsia="Batang" w:hAnsi="Times"/>
              </w:rPr>
              <w:t>FFS: how the sequence is extended.</w:t>
            </w:r>
          </w:p>
          <w:p w14:paraId="7859CCB2" w14:textId="77777777" w:rsidR="0002046F" w:rsidRPr="0002046F" w:rsidRDefault="0002046F" w:rsidP="00283F57">
            <w:pPr>
              <w:numPr>
                <w:ilvl w:val="0"/>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Approach B – the DMRS sequence is not extended: A DMRS sequence based on type 1 or type 2 DMRS sequence is generated considering the number of PRBs in the inband + extension. The sequence length depends on the number of PRBs in the inband + extension.</w:t>
            </w:r>
          </w:p>
          <w:p w14:paraId="280EC6C5" w14:textId="77777777" w:rsidR="0002046F" w:rsidRPr="0002046F" w:rsidRDefault="0002046F" w:rsidP="0002046F">
            <w:pPr>
              <w:autoSpaceDE/>
              <w:autoSpaceDN/>
              <w:adjustRightInd/>
              <w:snapToGrid/>
              <w:spacing w:before="120"/>
              <w:ind w:left="800"/>
              <w:jc w:val="left"/>
              <w:rPr>
                <w:rFonts w:ascii="Times" w:eastAsia="等线" w:hAnsi="Times"/>
                <w:lang w:eastAsia="x-none"/>
              </w:rPr>
            </w:pPr>
            <w:r w:rsidRPr="0002046F">
              <w:rPr>
                <w:rFonts w:ascii="Times" w:eastAsia="Batang" w:hAnsi="Times"/>
                <w:lang w:eastAsia="x-none"/>
              </w:rPr>
              <w:t>Note: if type 2 is used then both the number of PRBs in the inband and the number of PRBs in the inband+extension must be valid DFT sizes as per NR specification</w:t>
            </w:r>
          </w:p>
          <w:p w14:paraId="59EC4204" w14:textId="77777777" w:rsidR="0002046F" w:rsidRPr="0002046F" w:rsidRDefault="0002046F" w:rsidP="0002046F">
            <w:pPr>
              <w:autoSpaceDE/>
              <w:autoSpaceDN/>
              <w:adjustRightInd/>
              <w:snapToGrid/>
              <w:spacing w:before="120"/>
              <w:jc w:val="left"/>
              <w:rPr>
                <w:rFonts w:ascii="Times" w:eastAsia="等线" w:hAnsi="Times"/>
              </w:rPr>
            </w:pPr>
            <w:r w:rsidRPr="0002046F">
              <w:rPr>
                <w:rFonts w:ascii="Times" w:eastAsia="Batang" w:hAnsi="Times"/>
              </w:rPr>
              <w:t>Performance metrics considered for the study are PAPR, CM[, and OBO] for DMRS and 10% BLER SNR for data (to measure channel estimation accuracy).</w:t>
            </w:r>
          </w:p>
          <w:p w14:paraId="57AD741C" w14:textId="77777777" w:rsidR="0002046F" w:rsidRPr="0002046F" w:rsidRDefault="0002046F" w:rsidP="0002046F">
            <w:pPr>
              <w:autoSpaceDE/>
              <w:autoSpaceDN/>
              <w:adjustRightInd/>
              <w:snapToGrid/>
              <w:spacing w:before="120"/>
              <w:jc w:val="left"/>
              <w:rPr>
                <w:rFonts w:ascii="Times" w:eastAsia="Batang" w:hAnsi="Times"/>
                <w:b/>
                <w:bCs/>
                <w:highlight w:val="green"/>
              </w:rPr>
            </w:pPr>
            <w:r w:rsidRPr="0002046F">
              <w:rPr>
                <w:rFonts w:ascii="Times" w:eastAsia="Batang" w:hAnsi="Times"/>
                <w:b/>
                <w:bCs/>
                <w:highlight w:val="green"/>
              </w:rPr>
              <w:t>Agreement</w:t>
            </w:r>
          </w:p>
          <w:p w14:paraId="344C3C26" w14:textId="77777777" w:rsidR="0002046F" w:rsidRPr="0002046F" w:rsidRDefault="0002046F" w:rsidP="0002046F">
            <w:pPr>
              <w:autoSpaceDE/>
              <w:autoSpaceDN/>
              <w:adjustRightInd/>
              <w:snapToGrid/>
              <w:spacing w:before="120"/>
              <w:jc w:val="left"/>
              <w:rPr>
                <w:rFonts w:ascii="Times" w:eastAsia="Batang" w:hAnsi="Times"/>
              </w:rPr>
            </w:pPr>
            <w:r w:rsidRPr="0002046F">
              <w:rPr>
                <w:rFonts w:ascii="Times" w:eastAsia="Batang" w:hAnsi="Times"/>
              </w:rPr>
              <w:t xml:space="preserve">If FDSS-SE is supported in Rel-18, and RB allocations resulting in DMRS sequence length smaller than 30 before extension of the sequence, if any, are supported, RAN1 to study at least the following approaches: </w:t>
            </w:r>
          </w:p>
          <w:p w14:paraId="6BAC5FCF" w14:textId="77777777" w:rsidR="0002046F" w:rsidRPr="0002046F" w:rsidRDefault="0002046F" w:rsidP="00283F57">
            <w:pPr>
              <w:numPr>
                <w:ilvl w:val="0"/>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Approach A – the DMRS sequence is extended: A DMRS sequence is generated considering the number of PRBs in the inband (no extension). The sequence length depends on the number of PRBs in the inband. Two sequence types can be considered:</w:t>
            </w:r>
          </w:p>
          <w:p w14:paraId="4EE47884" w14:textId="77777777" w:rsidR="0002046F" w:rsidRPr="0002046F" w:rsidRDefault="0002046F" w:rsidP="00283F57">
            <w:pPr>
              <w:numPr>
                <w:ilvl w:val="1"/>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 xml:space="preserve">A.1: The sequence is obtained by DFT transformation of an existing DMRS sequence, e.g., Type 1 DMRS sequence. </w:t>
            </w:r>
          </w:p>
          <w:p w14:paraId="2DF04495" w14:textId="77777777" w:rsidR="0002046F" w:rsidRPr="0002046F" w:rsidRDefault="0002046F" w:rsidP="00283F57">
            <w:pPr>
              <w:numPr>
                <w:ilvl w:val="1"/>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A.2: The sequence is a Type 1 or Type 2 DMRS sequence.</w:t>
            </w:r>
          </w:p>
          <w:p w14:paraId="7583DFCB" w14:textId="77777777" w:rsidR="0002046F" w:rsidRPr="0002046F" w:rsidRDefault="0002046F" w:rsidP="0002046F">
            <w:pPr>
              <w:autoSpaceDE/>
              <w:autoSpaceDN/>
              <w:adjustRightInd/>
              <w:snapToGrid/>
              <w:spacing w:before="120"/>
              <w:ind w:left="284" w:firstLine="284"/>
              <w:jc w:val="left"/>
              <w:rPr>
                <w:rFonts w:ascii="Times" w:eastAsia="Batang" w:hAnsi="Times"/>
              </w:rPr>
            </w:pPr>
            <w:r w:rsidRPr="0002046F">
              <w:rPr>
                <w:rFonts w:ascii="Times" w:eastAsia="Batang" w:hAnsi="Times"/>
              </w:rPr>
              <w:t xml:space="preserve">   FFS: how the sequence is extended. </w:t>
            </w:r>
          </w:p>
          <w:p w14:paraId="5F2D5C84" w14:textId="77777777" w:rsidR="0002046F" w:rsidRPr="0002046F" w:rsidRDefault="0002046F" w:rsidP="00283F57">
            <w:pPr>
              <w:numPr>
                <w:ilvl w:val="0"/>
                <w:numId w:val="15"/>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t>Approach B – the DMRS sequence is not extended: A DMRS sequence based on type 1 or type 2 DMRS sequence is generated considering the number of PRBs in the inband + extension. The sequence length depends on the number of PRBs in the inband + extension.</w:t>
            </w:r>
          </w:p>
          <w:p w14:paraId="6A4311D6" w14:textId="77777777" w:rsidR="0002046F" w:rsidRPr="0002046F" w:rsidRDefault="0002046F" w:rsidP="0002046F">
            <w:pPr>
              <w:autoSpaceDE/>
              <w:autoSpaceDN/>
              <w:adjustRightInd/>
              <w:snapToGrid/>
              <w:spacing w:before="120"/>
              <w:ind w:leftChars="400" w:left="880"/>
              <w:jc w:val="left"/>
              <w:rPr>
                <w:rFonts w:ascii="Times" w:eastAsia="Batang" w:hAnsi="Times"/>
                <w:lang w:eastAsia="x-none"/>
              </w:rPr>
            </w:pPr>
            <w:r w:rsidRPr="0002046F">
              <w:rPr>
                <w:rFonts w:ascii="Times" w:eastAsia="Batang" w:hAnsi="Times"/>
                <w:lang w:eastAsia="x-none"/>
              </w:rPr>
              <w:t>Note: if type 2 is used then both the number of PRBs in the inband and the number of PRBs in the inband+extension must be valid DFT sizes as per NR specification</w:t>
            </w:r>
          </w:p>
          <w:p w14:paraId="2A102F70" w14:textId="77777777" w:rsidR="0002046F" w:rsidRPr="0002046F" w:rsidRDefault="0002046F" w:rsidP="0002046F">
            <w:pPr>
              <w:autoSpaceDE/>
              <w:autoSpaceDN/>
              <w:adjustRightInd/>
              <w:snapToGrid/>
              <w:spacing w:before="120"/>
              <w:jc w:val="left"/>
              <w:rPr>
                <w:rFonts w:ascii="Times" w:eastAsia="Batang" w:hAnsi="Times"/>
              </w:rPr>
            </w:pPr>
            <w:r w:rsidRPr="0002046F">
              <w:rPr>
                <w:rFonts w:ascii="Times" w:eastAsia="Batang" w:hAnsi="Times"/>
              </w:rPr>
              <w:t>Note:    Other sequences are not precluded for Approach A and Approach B.</w:t>
            </w:r>
          </w:p>
          <w:p w14:paraId="49F8965B" w14:textId="77777777" w:rsidR="0002046F" w:rsidRPr="0002046F" w:rsidRDefault="0002046F" w:rsidP="0002046F">
            <w:pPr>
              <w:autoSpaceDE/>
              <w:autoSpaceDN/>
              <w:adjustRightInd/>
              <w:snapToGrid/>
              <w:spacing w:before="120"/>
              <w:jc w:val="left"/>
              <w:rPr>
                <w:rFonts w:ascii="Times" w:eastAsia="等线" w:hAnsi="Times"/>
              </w:rPr>
            </w:pPr>
            <w:r w:rsidRPr="0002046F">
              <w:rPr>
                <w:rFonts w:ascii="Times" w:eastAsia="Batang" w:hAnsi="Times"/>
              </w:rPr>
              <w:t>Performance metrics considered for the study are PAPR, CM [, and OBO] for DMRS and 10% BLER SNR for data (to measure channel estimation accuracy).</w:t>
            </w:r>
          </w:p>
          <w:p w14:paraId="60AD0383" w14:textId="77777777" w:rsidR="0002046F" w:rsidRPr="0002046F" w:rsidRDefault="0002046F" w:rsidP="0002046F">
            <w:pPr>
              <w:autoSpaceDE/>
              <w:autoSpaceDN/>
              <w:adjustRightInd/>
              <w:snapToGrid/>
              <w:spacing w:after="0"/>
              <w:rPr>
                <w:i/>
                <w:sz w:val="20"/>
                <w:szCs w:val="20"/>
                <w:lang w:eastAsia="ja-JP"/>
              </w:rPr>
            </w:pPr>
          </w:p>
        </w:tc>
      </w:tr>
    </w:tbl>
    <w:p w14:paraId="2C1CEAE3" w14:textId="77777777" w:rsidR="0002046F" w:rsidRPr="0002046F" w:rsidRDefault="0002046F" w:rsidP="0002046F">
      <w:pPr>
        <w:autoSpaceDE/>
        <w:autoSpaceDN/>
        <w:adjustRightInd/>
        <w:snapToGrid/>
        <w:spacing w:after="180"/>
        <w:jc w:val="left"/>
        <w:rPr>
          <w:rFonts w:eastAsia="宋体"/>
          <w:sz w:val="20"/>
          <w:szCs w:val="20"/>
          <w:lang w:val="en-GB" w:eastAsia="zh-CN"/>
        </w:rPr>
      </w:pPr>
    </w:p>
    <w:p w14:paraId="6C6BD968" w14:textId="77777777" w:rsidR="0002046F" w:rsidRPr="0002046F" w:rsidRDefault="0002046F" w:rsidP="0002046F">
      <w:pPr>
        <w:autoSpaceDE/>
        <w:autoSpaceDN/>
        <w:adjustRightInd/>
        <w:snapToGrid/>
        <w:spacing w:after="180"/>
        <w:rPr>
          <w:rFonts w:eastAsia="MS Mincho"/>
        </w:rPr>
      </w:pPr>
      <w:r w:rsidRPr="0002046F">
        <w:rPr>
          <w:rFonts w:eastAsia="MS Mincho"/>
          <w:lang w:val="en-GB" w:eastAsia="zh-CN"/>
        </w:rPr>
        <w:t>At RAN</w:t>
      </w:r>
      <w:r w:rsidRPr="0002046F">
        <w:rPr>
          <w:rFonts w:ascii="宋体" w:eastAsia="宋体" w:hAnsi="宋体" w:hint="eastAsia"/>
          <w:lang w:val="en-GB" w:eastAsia="zh-CN"/>
        </w:rPr>
        <w:t>1</w:t>
      </w:r>
      <w:r w:rsidRPr="0002046F">
        <w:rPr>
          <w:rFonts w:eastAsia="MS Mincho"/>
          <w:lang w:val="en-GB" w:eastAsia="zh-CN"/>
        </w:rPr>
        <w:t xml:space="preserve">#112 meeting, it was agreed to </w:t>
      </w:r>
      <w:r w:rsidRPr="0002046F">
        <w:rPr>
          <w:rFonts w:eastAsia="MS Mincho"/>
        </w:rPr>
        <w:t>discuss DMRS with FDSS-SE based on the DMRS sequence length</w:t>
      </w:r>
      <w:r w:rsidRPr="0002046F">
        <w:rPr>
          <w:rFonts w:eastAsia="MS Mincho"/>
          <w:lang w:val="en-GB" w:eastAsia="zh-CN"/>
        </w:rPr>
        <w:t xml:space="preserve"> separately. There are two </w:t>
      </w:r>
      <w:r w:rsidRPr="0002046F">
        <w:rPr>
          <w:rFonts w:eastAsia="MS Mincho"/>
        </w:rPr>
        <w:t>approaches</w:t>
      </w:r>
      <w:r w:rsidRPr="0002046F">
        <w:rPr>
          <w:rFonts w:eastAsia="MS Mincho"/>
          <w:lang w:val="en-GB" w:eastAsia="zh-CN"/>
        </w:rPr>
        <w:t xml:space="preserve"> can be considered </w:t>
      </w:r>
      <w:r w:rsidRPr="0002046F">
        <w:rPr>
          <w:rFonts w:eastAsia="MS Mincho"/>
        </w:rPr>
        <w:t>when the DMRS sequence length before extension of the sequence is larger than or equal to 30.</w:t>
      </w:r>
    </w:p>
    <w:p w14:paraId="00806DE9" w14:textId="77777777" w:rsidR="0002046F" w:rsidRPr="0002046F" w:rsidRDefault="0002046F" w:rsidP="00283F57">
      <w:pPr>
        <w:numPr>
          <w:ilvl w:val="0"/>
          <w:numId w:val="15"/>
        </w:numPr>
        <w:autoSpaceDE/>
        <w:autoSpaceDN/>
        <w:adjustRightInd/>
        <w:snapToGrid/>
        <w:spacing w:before="120" w:after="180"/>
        <w:ind w:left="714"/>
        <w:contextualSpacing/>
        <w:jc w:val="left"/>
        <w:rPr>
          <w:rFonts w:eastAsia="MS Mincho"/>
        </w:rPr>
      </w:pPr>
      <w:r w:rsidRPr="0002046F">
        <w:rPr>
          <w:rFonts w:eastAsia="MS Mincho"/>
        </w:rPr>
        <w:t>Approach A – the DMRS sequence is extended: A DMRS sequence is generated considering the number of PRBs in the inband (no extension). The sequence length depends on the number of PRBs in the inband. Two sequence types can be considered:</w:t>
      </w:r>
    </w:p>
    <w:p w14:paraId="5A053253" w14:textId="77777777" w:rsidR="0002046F" w:rsidRPr="0002046F" w:rsidRDefault="0002046F" w:rsidP="00283F57">
      <w:pPr>
        <w:numPr>
          <w:ilvl w:val="1"/>
          <w:numId w:val="15"/>
        </w:numPr>
        <w:autoSpaceDE/>
        <w:autoSpaceDN/>
        <w:adjustRightInd/>
        <w:snapToGrid/>
        <w:spacing w:before="120" w:after="180"/>
        <w:contextualSpacing/>
        <w:jc w:val="left"/>
        <w:rPr>
          <w:rFonts w:eastAsia="MS Mincho"/>
        </w:rPr>
      </w:pPr>
      <w:r w:rsidRPr="0002046F">
        <w:rPr>
          <w:rFonts w:eastAsia="MS Mincho"/>
        </w:rPr>
        <w:t>A.1: The sequence is a Type 1 DMRS sequence.</w:t>
      </w:r>
    </w:p>
    <w:p w14:paraId="14687A37" w14:textId="77777777" w:rsidR="0002046F" w:rsidRPr="0002046F" w:rsidRDefault="0002046F" w:rsidP="00283F57">
      <w:pPr>
        <w:numPr>
          <w:ilvl w:val="1"/>
          <w:numId w:val="15"/>
        </w:numPr>
        <w:autoSpaceDE/>
        <w:autoSpaceDN/>
        <w:adjustRightInd/>
        <w:snapToGrid/>
        <w:spacing w:before="120" w:after="180"/>
        <w:contextualSpacing/>
        <w:jc w:val="left"/>
        <w:rPr>
          <w:rFonts w:eastAsia="MS Mincho"/>
        </w:rPr>
      </w:pPr>
      <w:r w:rsidRPr="0002046F">
        <w:rPr>
          <w:rFonts w:eastAsia="MS Mincho"/>
        </w:rPr>
        <w:t xml:space="preserve">A.2: The sequence is a Type 2 DMRS sequence. </w:t>
      </w:r>
    </w:p>
    <w:p w14:paraId="072549AE" w14:textId="77777777" w:rsidR="0002046F" w:rsidRPr="0002046F" w:rsidRDefault="0002046F" w:rsidP="0002046F">
      <w:pPr>
        <w:autoSpaceDE/>
        <w:autoSpaceDN/>
        <w:adjustRightInd/>
        <w:snapToGrid/>
        <w:spacing w:before="120"/>
        <w:ind w:firstLineChars="350" w:firstLine="808"/>
        <w:contextualSpacing/>
        <w:jc w:val="left"/>
        <w:rPr>
          <w:rFonts w:eastAsia="MS Mincho"/>
        </w:rPr>
      </w:pPr>
      <w:r w:rsidRPr="0002046F">
        <w:rPr>
          <w:rFonts w:ascii="Times" w:eastAsia="Batang" w:hAnsi="Times"/>
        </w:rPr>
        <w:t>FFS: how the sequence is extended.</w:t>
      </w:r>
    </w:p>
    <w:p w14:paraId="3C884671" w14:textId="77777777" w:rsidR="0002046F" w:rsidRPr="0002046F" w:rsidRDefault="0002046F" w:rsidP="00283F57">
      <w:pPr>
        <w:numPr>
          <w:ilvl w:val="0"/>
          <w:numId w:val="15"/>
        </w:numPr>
        <w:autoSpaceDE/>
        <w:autoSpaceDN/>
        <w:adjustRightInd/>
        <w:snapToGrid/>
        <w:spacing w:before="120" w:after="180"/>
        <w:contextualSpacing/>
        <w:jc w:val="left"/>
        <w:rPr>
          <w:rFonts w:eastAsia="MS Mincho"/>
        </w:rPr>
      </w:pPr>
      <w:r w:rsidRPr="0002046F">
        <w:rPr>
          <w:rFonts w:eastAsia="MS Mincho"/>
        </w:rPr>
        <w:t>Approach B – the DMRS sequence is not extended: A DMRS sequence based on type 1 or type 2 DMRS sequence is generated considering the number of PRBs in the inband + extension. The sequence length depends on the number of PRBs in the inband + extension.</w:t>
      </w:r>
    </w:p>
    <w:p w14:paraId="530339A9" w14:textId="77777777" w:rsidR="0002046F" w:rsidRPr="0002046F" w:rsidRDefault="0002046F" w:rsidP="0002046F">
      <w:pPr>
        <w:autoSpaceDE/>
        <w:autoSpaceDN/>
        <w:adjustRightInd/>
        <w:snapToGrid/>
        <w:spacing w:before="120"/>
        <w:ind w:leftChars="400" w:left="880"/>
        <w:jc w:val="left"/>
        <w:rPr>
          <w:rFonts w:eastAsia="等线"/>
        </w:rPr>
      </w:pPr>
      <w:r w:rsidRPr="0002046F">
        <w:rPr>
          <w:rFonts w:eastAsia="MS Mincho"/>
        </w:rPr>
        <w:lastRenderedPageBreak/>
        <w:t>Note: if type 2 is used then both the number of PRBs in the inband and the number of PRBs in the inband+extension must be valid DFT sizes as per NR specification</w:t>
      </w:r>
    </w:p>
    <w:p w14:paraId="3DC7F5B7" w14:textId="77777777" w:rsidR="0002046F" w:rsidRPr="0002046F" w:rsidRDefault="0002046F" w:rsidP="0002046F">
      <w:pPr>
        <w:autoSpaceDE/>
        <w:autoSpaceDN/>
        <w:adjustRightInd/>
        <w:snapToGrid/>
        <w:spacing w:after="180"/>
        <w:rPr>
          <w:rFonts w:eastAsia="MS Mincho"/>
          <w:bCs/>
          <w:iCs/>
          <w:noProof/>
        </w:rPr>
      </w:pPr>
      <w:r w:rsidRPr="0002046F">
        <w:rPr>
          <w:rFonts w:eastAsia="MS Mincho"/>
          <w:bCs/>
          <w:iCs/>
          <w:noProof/>
        </w:rPr>
        <w:t xml:space="preserve">For FFS in the Approach A, that is, </w:t>
      </w:r>
      <w:r w:rsidRPr="0002046F">
        <w:rPr>
          <w:rFonts w:ascii="Times" w:eastAsia="Batang" w:hAnsi="Times"/>
        </w:rPr>
        <w:t>how the sequence is extended</w:t>
      </w:r>
      <w:r w:rsidRPr="0002046F">
        <w:rPr>
          <w:rFonts w:eastAsia="MS Mincho"/>
          <w:bCs/>
          <w:iCs/>
          <w:noProof/>
        </w:rPr>
        <w:t xml:space="preserve">, 2 options were proposed </w:t>
      </w:r>
      <w:r w:rsidRPr="0002046F">
        <w:rPr>
          <w:rFonts w:eastAsia="MS Mincho"/>
        </w:rPr>
        <w:t xml:space="preserve">in </w:t>
      </w:r>
      <w:r w:rsidRPr="0002046F">
        <w:rPr>
          <w:rFonts w:eastAsia="MS Mincho"/>
          <w:lang w:val="en-GB" w:eastAsia="zh-CN"/>
        </w:rPr>
        <w:t>RAN</w:t>
      </w:r>
      <w:r w:rsidRPr="0002046F">
        <w:rPr>
          <w:rFonts w:ascii="宋体" w:eastAsia="宋体" w:hAnsi="宋体" w:hint="eastAsia"/>
          <w:lang w:val="en-GB" w:eastAsia="zh-CN"/>
        </w:rPr>
        <w:t>1</w:t>
      </w:r>
      <w:r w:rsidRPr="0002046F">
        <w:rPr>
          <w:rFonts w:eastAsia="MS Mincho"/>
          <w:lang w:val="en-GB" w:eastAsia="zh-CN"/>
        </w:rPr>
        <w:t>#112 meeting</w:t>
      </w:r>
      <w:r w:rsidRPr="0002046F">
        <w:rPr>
          <w:rFonts w:eastAsia="MS Mincho"/>
          <w:bCs/>
          <w:iCs/>
          <w:noProof/>
        </w:rPr>
        <w:t>.</w:t>
      </w:r>
    </w:p>
    <w:p w14:paraId="3B2A47D8" w14:textId="77777777" w:rsidR="0002046F" w:rsidRPr="0002046F" w:rsidRDefault="0002046F" w:rsidP="00283F57">
      <w:pPr>
        <w:numPr>
          <w:ilvl w:val="0"/>
          <w:numId w:val="14"/>
        </w:numPr>
        <w:autoSpaceDE/>
        <w:autoSpaceDN/>
        <w:adjustRightInd/>
        <w:snapToGrid/>
        <w:spacing w:after="180"/>
        <w:jc w:val="left"/>
        <w:rPr>
          <w:rFonts w:eastAsia="MS Mincho"/>
          <w:bCs/>
          <w:iCs/>
          <w:noProof/>
        </w:rPr>
      </w:pPr>
      <w:r w:rsidRPr="0002046F">
        <w:rPr>
          <w:rFonts w:eastAsia="MS Mincho"/>
        </w:rPr>
        <w:t>A.1-b/ A.2-b</w:t>
      </w:r>
      <w:r w:rsidRPr="0002046F">
        <w:rPr>
          <w:rFonts w:eastAsia="MS Mincho"/>
          <w:bCs/>
          <w:iCs/>
          <w:noProof/>
        </w:rPr>
        <w:t>: A DMRS sequence is generated considering the number of PRBs in the inband (no extension). The sequence length depends on the number of PRBs in the inband. The sequence is then cyclically extended to span the PRBs in the extension.</w:t>
      </w:r>
    </w:p>
    <w:p w14:paraId="6013058E" w14:textId="77777777" w:rsidR="0002046F" w:rsidRPr="0002046F" w:rsidRDefault="0002046F" w:rsidP="00283F57">
      <w:pPr>
        <w:numPr>
          <w:ilvl w:val="0"/>
          <w:numId w:val="14"/>
        </w:numPr>
        <w:autoSpaceDE/>
        <w:autoSpaceDN/>
        <w:adjustRightInd/>
        <w:snapToGrid/>
        <w:spacing w:after="180"/>
        <w:jc w:val="left"/>
        <w:rPr>
          <w:rFonts w:eastAsia="MS Mincho"/>
          <w:bCs/>
          <w:iCs/>
          <w:noProof/>
        </w:rPr>
      </w:pPr>
      <w:r w:rsidRPr="0002046F">
        <w:rPr>
          <w:rFonts w:eastAsia="MS Mincho"/>
        </w:rPr>
        <w:t>A.1-c/A.2-c</w:t>
      </w:r>
      <w:r w:rsidRPr="0002046F">
        <w:rPr>
          <w:rFonts w:eastAsia="MS Mincho"/>
          <w:bCs/>
          <w:iCs/>
          <w:noProof/>
        </w:rPr>
        <w:t>: A DMRS sequence is generated considering the number of PRBs in the inband (no extension). The sequence length depends on the number of PRBs in the inband. DMRS extension is applied similar to data to span the PRBs in the extension.</w:t>
      </w:r>
    </w:p>
    <w:p w14:paraId="54C8FB7E" w14:textId="77777777" w:rsidR="0002046F" w:rsidRPr="0002046F" w:rsidRDefault="0002046F" w:rsidP="0002046F">
      <w:pPr>
        <w:autoSpaceDE/>
        <w:autoSpaceDN/>
        <w:adjustRightInd/>
        <w:snapToGrid/>
        <w:spacing w:after="180"/>
        <w:textAlignment w:val="bottom"/>
        <w:rPr>
          <w:rFonts w:eastAsia="宋体"/>
          <w:lang w:val="en-GB" w:eastAsia="zh-CN"/>
        </w:rPr>
      </w:pPr>
      <w:r w:rsidRPr="0002046F">
        <w:rPr>
          <w:rFonts w:eastAsia="MS Mincho"/>
          <w:bCs/>
          <w:iCs/>
          <w:noProof/>
        </w:rPr>
        <w:t xml:space="preserve">There are some </w:t>
      </w:r>
      <w:r w:rsidRPr="0002046F">
        <w:rPr>
          <w:rFonts w:eastAsia="MS Mincho"/>
        </w:rPr>
        <w:t xml:space="preserve">examples of Approach A.1-b/ A.2-b and Approach A.1-c/ A.2-c in the FL summary [4]. </w:t>
      </w:r>
    </w:p>
    <w:p w14:paraId="3D64E19F" w14:textId="3430D022" w:rsidR="0002046F" w:rsidRPr="0002046F" w:rsidRDefault="0073325D" w:rsidP="0002046F">
      <w:pPr>
        <w:autoSpaceDE/>
        <w:autoSpaceDN/>
        <w:adjustRightInd/>
        <w:snapToGrid/>
        <w:spacing w:after="180"/>
        <w:rPr>
          <w:rFonts w:eastAsia="宋体"/>
          <w:lang w:val="en-GB" w:eastAsia="zh-CN"/>
        </w:rPr>
      </w:pPr>
      <w:r>
        <w:rPr>
          <w:rFonts w:eastAsia="宋体"/>
          <w:lang w:val="en-GB" w:eastAsia="zh-CN"/>
        </w:rPr>
        <w:t>In R15/16, t</w:t>
      </w:r>
      <w:r w:rsidRPr="0002046F">
        <w:rPr>
          <w:rFonts w:eastAsia="宋体"/>
          <w:lang w:val="en-GB" w:eastAsia="zh-CN"/>
        </w:rPr>
        <w:t>he DMRS sequence is obtained by cyclically extending the original ZC sequence with prime length when the length of the used ZC sequence is shorter than the number of allocated RE.</w:t>
      </w:r>
      <w:r>
        <w:rPr>
          <w:rFonts w:eastAsia="宋体"/>
          <w:lang w:val="en-GB" w:eastAsia="zh-CN"/>
        </w:rPr>
        <w:t xml:space="preserve"> </w:t>
      </w:r>
      <w:r w:rsidR="0002046F" w:rsidRPr="0002046F">
        <w:rPr>
          <w:rFonts w:eastAsia="宋体"/>
          <w:lang w:val="en-GB" w:eastAsia="zh-CN"/>
        </w:rPr>
        <w:t xml:space="preserve">For </w:t>
      </w:r>
      <w:r w:rsidR="0002046F" w:rsidRPr="0002046F">
        <w:rPr>
          <w:rFonts w:eastAsia="MS Mincho"/>
        </w:rPr>
        <w:t>Approach A.1-b/ A.2-b</w:t>
      </w:r>
      <w:r w:rsidR="0002046F" w:rsidRPr="0002046F">
        <w:rPr>
          <w:rFonts w:eastAsia="宋体"/>
          <w:lang w:val="en-GB" w:eastAsia="zh-CN"/>
        </w:rPr>
        <w:t xml:space="preserve">, the DMRS sequence is generated considering the number of PRBs in the inband. The sequence length depends on the number of PRBs in the inband. The sequence is then cyclically extended to span the PRBs in the extension, which reuse same method defined in R15/R16. It has good PAPR performance without changing the DMRS sequence order. </w:t>
      </w:r>
    </w:p>
    <w:p w14:paraId="62306A39" w14:textId="77777777" w:rsidR="0002046F" w:rsidRP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t>Observation 1. For Approach A.1-b/ A.2-b, the characteristics of the DMRS sequence is not changed and can maintain low PAPR performance.</w:t>
      </w:r>
    </w:p>
    <w:p w14:paraId="76680843" w14:textId="204D8A67" w:rsidR="0002046F" w:rsidRDefault="0002046F" w:rsidP="0002046F">
      <w:pPr>
        <w:autoSpaceDE/>
        <w:autoSpaceDN/>
        <w:adjustRightInd/>
        <w:snapToGrid/>
        <w:rPr>
          <w:rFonts w:eastAsia="Batang"/>
          <w:iCs/>
          <w:noProof/>
          <w:lang w:val="en-GB" w:eastAsia="x-none"/>
        </w:rPr>
      </w:pPr>
      <w:r w:rsidRPr="0002046F">
        <w:rPr>
          <w:rFonts w:eastAsia="宋体"/>
          <w:lang w:val="en-GB" w:eastAsia="zh-CN"/>
        </w:rPr>
        <w:t xml:space="preserve">For </w:t>
      </w:r>
      <w:r w:rsidRPr="0002046F">
        <w:rPr>
          <w:rFonts w:eastAsia="MS Mincho"/>
        </w:rPr>
        <w:t>Approach A.1-c</w:t>
      </w:r>
      <w:r w:rsidRPr="0002046F">
        <w:rPr>
          <w:rFonts w:eastAsia="宋体"/>
          <w:lang w:val="en-GB" w:eastAsia="zh-CN"/>
        </w:rPr>
        <w:t>, a DMRS sequence is generated considering the number of PRBs in the inband. DMRS extension is applied similar to data to span the PRBs in the extension. The M length base sequence is extended to L by copying the last (L-M)/2 samples to the beginning, and copying first (L-M)/2 samples to the end of the M length DMRS sequence.</w:t>
      </w:r>
      <w:r w:rsidRPr="0002046F">
        <w:rPr>
          <w:rFonts w:eastAsia="MS Mincho"/>
          <w:lang w:val="en-GB"/>
        </w:rPr>
        <w:t xml:space="preserve"> </w:t>
      </w:r>
      <w:r w:rsidRPr="0002046F">
        <w:rPr>
          <w:rFonts w:eastAsia="MS Mincho"/>
        </w:rPr>
        <w:t>It is important to ensure that PAPR/CM of DMRS is not higher than PAPR/CM of data.</w:t>
      </w:r>
      <w:r w:rsidRPr="0002046F">
        <w:rPr>
          <w:rFonts w:eastAsia="宋体"/>
          <w:lang w:eastAsia="zh-CN"/>
        </w:rPr>
        <w:t xml:space="preserve"> </w:t>
      </w:r>
      <w:r w:rsidRPr="0002046F">
        <w:rPr>
          <w:rFonts w:eastAsia="Batang"/>
          <w:iCs/>
          <w:noProof/>
          <w:lang w:val="en-GB" w:eastAsia="x-none"/>
        </w:rPr>
        <w:t xml:space="preserve">However, </w:t>
      </w:r>
      <w:r w:rsidRPr="0002046F">
        <w:rPr>
          <w:rFonts w:eastAsia="MS Mincho"/>
        </w:rPr>
        <w:t>Approach A.1-c</w:t>
      </w:r>
      <w:r w:rsidRPr="0002046F">
        <w:rPr>
          <w:rFonts w:eastAsia="Batang"/>
          <w:iCs/>
          <w:noProof/>
          <w:lang w:val="en-GB" w:eastAsia="x-none"/>
        </w:rPr>
        <w:t xml:space="preserve"> changes the order of the sequence by simply copying the sequence values</w:t>
      </w:r>
      <w:r w:rsidRPr="0002046F">
        <w:rPr>
          <w:rFonts w:eastAsia="MS Mincho"/>
          <w:lang w:val="en-GB"/>
        </w:rPr>
        <w:t xml:space="preserve"> of some inband PRB(s)</w:t>
      </w:r>
      <w:r w:rsidRPr="0002046F">
        <w:rPr>
          <w:rFonts w:eastAsia="Batang"/>
          <w:iCs/>
          <w:noProof/>
          <w:lang w:val="en-GB" w:eastAsia="x-none"/>
        </w:rPr>
        <w:t xml:space="preserve">, so the correlation performance of the sequence becomes worse, which has negative impact to PAPR/CM. </w:t>
      </w:r>
    </w:p>
    <w:p w14:paraId="59C34352" w14:textId="0386D5F9" w:rsidR="0073325D" w:rsidRPr="0073325D" w:rsidRDefault="0073325D" w:rsidP="0002046F">
      <w:pPr>
        <w:autoSpaceDE/>
        <w:autoSpaceDN/>
        <w:adjustRightInd/>
        <w:snapToGrid/>
        <w:rPr>
          <w:rFonts w:eastAsia="宋体" w:hint="eastAsia"/>
          <w:b/>
          <w:i/>
          <w:lang w:val="en-GB" w:eastAsia="zh-CN"/>
        </w:rPr>
      </w:pPr>
      <w:r w:rsidRPr="0002046F">
        <w:rPr>
          <w:rFonts w:eastAsia="宋体"/>
          <w:b/>
          <w:i/>
          <w:lang w:val="en-GB" w:eastAsia="zh-CN"/>
        </w:rPr>
        <w:t>Observation 2. Approach A.1-c may result in increasing PAPR and CM.</w:t>
      </w:r>
    </w:p>
    <w:p w14:paraId="33DB1795" w14:textId="77777777" w:rsidR="0002046F" w:rsidRPr="0002046F" w:rsidRDefault="0002046F" w:rsidP="0002046F">
      <w:pPr>
        <w:autoSpaceDE/>
        <w:autoSpaceDN/>
        <w:adjustRightInd/>
        <w:snapToGrid/>
        <w:rPr>
          <w:rFonts w:eastAsia="MS Mincho"/>
          <w:lang w:val="en-GB"/>
        </w:rPr>
      </w:pPr>
      <w:r w:rsidRPr="0002046F">
        <w:rPr>
          <w:rFonts w:eastAsia="MS Mincho"/>
          <w:lang w:val="en-GB"/>
        </w:rPr>
        <w:t xml:space="preserve">For Approach B, if low PAPR type 1 DMRS sequence is generated considering the number of PRBs in the inband + extension and without spectrum extension, DMRS has larger PAPR than </w:t>
      </w:r>
      <m:oMath>
        <m:r>
          <w:rPr>
            <w:rFonts w:ascii="Cambria Math" w:eastAsia="MS Mincho" w:hAnsi="Cambria Math"/>
            <w:lang w:val="en-GB"/>
          </w:rPr>
          <m:t>π</m:t>
        </m:r>
      </m:oMath>
      <w:r w:rsidRPr="0002046F">
        <w:rPr>
          <w:rFonts w:eastAsia="MS Mincho"/>
          <w:lang w:val="en-GB"/>
        </w:rPr>
        <w:t xml:space="preserve">/2 BPSK-modulated data. So it should not be considered. </w:t>
      </w:r>
    </w:p>
    <w:p w14:paraId="77246F0A" w14:textId="3AF30923" w:rsid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t xml:space="preserve">Observation 3. For </w:t>
      </w:r>
      <w:r w:rsidR="000C1D0A">
        <w:rPr>
          <w:rFonts w:eastAsia="MS Mincho"/>
          <w:b/>
          <w:bCs/>
          <w:i/>
          <w:iCs/>
          <w:lang w:val="en-GB"/>
        </w:rPr>
        <w:t>T</w:t>
      </w:r>
      <w:r w:rsidRPr="0002046F">
        <w:rPr>
          <w:rFonts w:eastAsia="MS Mincho"/>
          <w:b/>
          <w:bCs/>
          <w:i/>
          <w:iCs/>
          <w:lang w:val="en-GB"/>
        </w:rPr>
        <w:t xml:space="preserve">ype 1 DMRS sequence in Approach B, PAPR performance of DMRS is worse than that of data. </w:t>
      </w:r>
    </w:p>
    <w:p w14:paraId="32C59931" w14:textId="2229CAF0" w:rsidR="0073325D" w:rsidRPr="0073325D" w:rsidRDefault="0073325D" w:rsidP="0073325D">
      <w:pPr>
        <w:autoSpaceDE/>
        <w:autoSpaceDN/>
        <w:adjustRightInd/>
        <w:snapToGrid/>
        <w:rPr>
          <w:rFonts w:eastAsia="宋体" w:hint="eastAsia"/>
          <w:noProof/>
          <w:szCs w:val="20"/>
          <w:lang w:eastAsia="zh-CN"/>
        </w:rPr>
      </w:pPr>
      <w:r w:rsidRPr="0002046F">
        <w:rPr>
          <w:rFonts w:eastAsia="MS Mincho"/>
          <w:noProof/>
          <w:lang w:val="en-GB"/>
        </w:rPr>
        <w:t xml:space="preserve">From above analysis, it can be seen that low PAPR type 1 DMRS sequence generation in Approach A.1-b is similar with existing </w:t>
      </w:r>
      <w:r>
        <w:rPr>
          <w:rFonts w:eastAsia="宋体"/>
          <w:lang w:val="en-GB" w:eastAsia="zh-CN"/>
        </w:rPr>
        <w:t>R15/16</w:t>
      </w:r>
      <w:r w:rsidRPr="0002046F">
        <w:rPr>
          <w:rFonts w:eastAsia="MS Mincho"/>
          <w:noProof/>
          <w:lang w:val="en-GB"/>
        </w:rPr>
        <w:t xml:space="preserve"> DMRS sequence and can get good PAPR performance and </w:t>
      </w:r>
      <w:r>
        <w:rPr>
          <w:rFonts w:eastAsia="MS Mincho"/>
          <w:noProof/>
          <w:lang w:val="en-GB"/>
        </w:rPr>
        <w:t>it can be considered.</w:t>
      </w:r>
    </w:p>
    <w:p w14:paraId="4BC4D083" w14:textId="77777777" w:rsidR="0002046F" w:rsidRPr="0002046F" w:rsidRDefault="0002046F" w:rsidP="0002046F">
      <w:pPr>
        <w:autoSpaceDE/>
        <w:autoSpaceDN/>
        <w:adjustRightInd/>
        <w:snapToGrid/>
        <w:rPr>
          <w:rFonts w:eastAsia="MS Mincho"/>
          <w:b/>
          <w:bCs/>
          <w:i/>
          <w:iCs/>
          <w:lang w:val="en-GB"/>
        </w:rPr>
      </w:pPr>
      <w:r w:rsidRPr="0002046F">
        <w:rPr>
          <w:rFonts w:eastAsia="MS Mincho" w:hint="eastAsia"/>
          <w:b/>
          <w:bCs/>
          <w:i/>
          <w:iCs/>
          <w:lang w:val="en-GB"/>
        </w:rPr>
        <w:t>P</w:t>
      </w:r>
      <w:r w:rsidRPr="0002046F">
        <w:rPr>
          <w:rFonts w:eastAsia="MS Mincho"/>
          <w:b/>
          <w:bCs/>
          <w:i/>
          <w:iCs/>
          <w:lang w:val="en-GB"/>
        </w:rPr>
        <w:t>roposal 1. Type 1 DMRS sequences with Approach A.1-b can be considered when the DMRS sequence length before extension of the sequence is larger than or equal to 30.</w:t>
      </w:r>
    </w:p>
    <w:p w14:paraId="5880116C" w14:textId="77777777" w:rsidR="0002046F" w:rsidRPr="0002046F" w:rsidRDefault="0002046F" w:rsidP="0002046F">
      <w:pPr>
        <w:autoSpaceDE/>
        <w:autoSpaceDN/>
        <w:adjustRightInd/>
        <w:snapToGrid/>
        <w:rPr>
          <w:rFonts w:eastAsia="宋体"/>
          <w:iCs/>
          <w:lang w:eastAsia="zh-CN"/>
        </w:rPr>
      </w:pPr>
      <w:r w:rsidRPr="0002046F">
        <w:rPr>
          <w:rFonts w:eastAsia="MS Mincho"/>
          <w:lang w:val="en-GB"/>
        </w:rPr>
        <w:t xml:space="preserve">For low PAPR sequence type 2, it can be generated directly based on the number of PRBs in the inband + extension, with the minimum impact on the specification. It can meet the requirement of PAPR/CM and there is no need to do spectrum extension. However, </w:t>
      </w:r>
      <w:r w:rsidRPr="0002046F">
        <w:rPr>
          <w:rFonts w:eastAsia="MS Mincho"/>
        </w:rPr>
        <w:t xml:space="preserve">both the number of PRBs in the inband and the number of PRBs in the inband+extension must be valid DFT sizes, .i.e., </w:t>
      </w:r>
      <w:r w:rsidRPr="0002046F">
        <w:rPr>
          <w:rFonts w:eastAsia="MS Mincho"/>
          <w:lang w:val="en-GB"/>
        </w:rPr>
        <w:t xml:space="preserve">multiple of 2, 3 and 5. It imposes additional configuration constraint and is not accepted by some companies.  </w:t>
      </w:r>
      <w:r w:rsidRPr="0002046F">
        <w:rPr>
          <w:rFonts w:eastAsia="宋体"/>
          <w:iCs/>
          <w:lang w:eastAsia="zh-CN"/>
        </w:rPr>
        <w:t xml:space="preserve">Thus, </w:t>
      </w:r>
      <w:r w:rsidRPr="0002046F">
        <w:rPr>
          <w:rFonts w:eastAsia="MS Mincho"/>
        </w:rPr>
        <w:t>the DMRS sequence can be extended to avoid impose restriction on total numbers of PRBs of inband+ extension band, e.g., A.2-b/ A.2-c.</w:t>
      </w:r>
      <w:r w:rsidRPr="0002046F">
        <w:rPr>
          <w:rFonts w:eastAsia="MS Mincho" w:hint="eastAsia"/>
        </w:rPr>
        <w:t xml:space="preserve"> </w:t>
      </w:r>
      <w:r w:rsidRPr="0002046F">
        <w:rPr>
          <w:rFonts w:eastAsia="Batang"/>
          <w:iCs/>
        </w:rPr>
        <w:t>For low PAPR type 2 sequence</w:t>
      </w:r>
      <w:r w:rsidRPr="0002046F">
        <w:rPr>
          <w:rFonts w:eastAsia="宋体"/>
          <w:iCs/>
          <w:lang w:eastAsia="zh-CN"/>
        </w:rPr>
        <w:t>，</w:t>
      </w:r>
      <w:r w:rsidRPr="0002046F">
        <w:rPr>
          <w:rFonts w:eastAsia="宋体"/>
          <w:iCs/>
          <w:lang w:eastAsia="zh-CN"/>
        </w:rPr>
        <w:t>the l</w:t>
      </w:r>
      <w:r w:rsidRPr="0002046F">
        <w:rPr>
          <w:rFonts w:eastAsia="Batang"/>
          <w:iCs/>
        </w:rPr>
        <w:t>ength of base sequence depends on the number of allocated RE. Thus</w:t>
      </w:r>
      <w:r w:rsidRPr="0002046F">
        <w:rPr>
          <w:rFonts w:eastAsia="MS Mincho"/>
          <w:iCs/>
          <w:noProof/>
        </w:rPr>
        <w:t xml:space="preserve">, </w:t>
      </w:r>
      <w:r w:rsidRPr="0002046F">
        <w:rPr>
          <w:rFonts w:eastAsia="MS Mincho"/>
        </w:rPr>
        <w:t>A.2-b and A.2-c</w:t>
      </w:r>
      <w:r w:rsidRPr="0002046F">
        <w:rPr>
          <w:rFonts w:eastAsia="MS Mincho"/>
          <w:iCs/>
          <w:noProof/>
        </w:rPr>
        <w:t xml:space="preserve"> are same for l</w:t>
      </w:r>
      <w:r w:rsidRPr="0002046F">
        <w:rPr>
          <w:rFonts w:eastAsia="Batang"/>
          <w:iCs/>
        </w:rPr>
        <w:t>ow PAPR type 2 sequence.</w:t>
      </w:r>
      <w:r w:rsidRPr="0002046F">
        <w:rPr>
          <w:rFonts w:eastAsia="宋体"/>
          <w:iCs/>
          <w:lang w:eastAsia="zh-CN"/>
        </w:rPr>
        <w:t xml:space="preserve"> Neither of them changes the correlation of the sequence. </w:t>
      </w:r>
    </w:p>
    <w:p w14:paraId="44294249" w14:textId="0FCA6B05" w:rsidR="0002046F" w:rsidRP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lastRenderedPageBreak/>
        <w:t xml:space="preserve">Observation 4. For low PAPR </w:t>
      </w:r>
      <w:r w:rsidR="000C1D0A">
        <w:rPr>
          <w:rFonts w:eastAsia="MS Mincho"/>
          <w:b/>
          <w:bCs/>
          <w:i/>
          <w:iCs/>
          <w:lang w:val="en-GB"/>
        </w:rPr>
        <w:t>T</w:t>
      </w:r>
      <w:r w:rsidRPr="0002046F">
        <w:rPr>
          <w:rFonts w:eastAsia="MS Mincho"/>
          <w:b/>
          <w:bCs/>
          <w:i/>
          <w:iCs/>
          <w:lang w:val="en-GB"/>
        </w:rPr>
        <w:t>ype 2 DMRS sequence with or without extension, the good PAPR/CM performance can be obtained.</w:t>
      </w:r>
    </w:p>
    <w:p w14:paraId="7DE0D37E" w14:textId="2150AB6B" w:rsidR="0002046F" w:rsidRPr="0002046F" w:rsidRDefault="0002046F" w:rsidP="0002046F">
      <w:pPr>
        <w:autoSpaceDE/>
        <w:autoSpaceDN/>
        <w:adjustRightInd/>
        <w:snapToGrid/>
        <w:rPr>
          <w:rFonts w:eastAsia="MS Mincho"/>
        </w:rPr>
      </w:pPr>
      <w:r w:rsidRPr="0002046F">
        <w:rPr>
          <w:rFonts w:eastAsia="MS Mincho"/>
        </w:rPr>
        <w:t xml:space="preserve">Low-PAPR Type 1 sequence is generated based on ZC sequence and ZC sequence is a constant amplitude sequence. The generated waveform has a constant power spectral density and may obtain good channel estimation performance. Thus, some company argued that channel estimation quality may be impacted by choosing low-PAPR Type 1 or low-PAPR Type 2 sequence. From our perspective, the potential decoding performance loss compared to type </w:t>
      </w:r>
      <w:r w:rsidR="0073325D">
        <w:rPr>
          <w:rFonts w:eastAsia="MS Mincho"/>
        </w:rPr>
        <w:t>1</w:t>
      </w:r>
      <w:r w:rsidRPr="0002046F">
        <w:rPr>
          <w:rFonts w:eastAsia="MS Mincho"/>
        </w:rPr>
        <w:t xml:space="preserve"> DMRS sequence needs to </w:t>
      </w:r>
      <w:r w:rsidR="0073325D">
        <w:rPr>
          <w:rFonts w:eastAsia="MS Mincho"/>
        </w:rPr>
        <w:t xml:space="preserve">be </w:t>
      </w:r>
      <w:r w:rsidRPr="0002046F">
        <w:rPr>
          <w:rFonts w:eastAsia="MS Mincho"/>
        </w:rPr>
        <w:t>further stud</w:t>
      </w:r>
      <w:r w:rsidR="0073325D">
        <w:rPr>
          <w:rFonts w:eastAsia="MS Mincho"/>
        </w:rPr>
        <w:t>ied</w:t>
      </w:r>
      <w:r w:rsidRPr="0002046F">
        <w:rPr>
          <w:rFonts w:eastAsia="MS Mincho"/>
        </w:rPr>
        <w:t>. If no significant demodulation performance difference between two types DMRS is observed, the type 2 DMRS sequence can also be considered. Thus, whether to support low-PAPR Type 2 sequence can be further studied.</w:t>
      </w:r>
    </w:p>
    <w:p w14:paraId="351E74F9" w14:textId="1887099B" w:rsidR="0002046F" w:rsidRPr="0002046F" w:rsidRDefault="0002046F" w:rsidP="0002046F">
      <w:pPr>
        <w:autoSpaceDE/>
        <w:autoSpaceDN/>
        <w:adjustRightInd/>
        <w:snapToGrid/>
        <w:rPr>
          <w:rFonts w:eastAsia="MS Mincho"/>
          <w:b/>
          <w:bCs/>
          <w:i/>
          <w:iCs/>
          <w:lang w:val="en-GB"/>
        </w:rPr>
      </w:pPr>
      <w:r w:rsidRPr="0002046F">
        <w:rPr>
          <w:rFonts w:eastAsia="MS Mincho" w:hint="eastAsia"/>
          <w:b/>
          <w:bCs/>
          <w:i/>
          <w:iCs/>
          <w:lang w:val="en-GB"/>
        </w:rPr>
        <w:t>P</w:t>
      </w:r>
      <w:r w:rsidRPr="0002046F">
        <w:rPr>
          <w:rFonts w:eastAsia="MS Mincho"/>
          <w:b/>
          <w:bCs/>
          <w:i/>
          <w:iCs/>
          <w:lang w:val="en-GB"/>
        </w:rPr>
        <w:t xml:space="preserve">roposal 2. The applicability of </w:t>
      </w:r>
      <w:r w:rsidR="000C1D0A">
        <w:rPr>
          <w:rFonts w:eastAsia="MS Mincho"/>
          <w:b/>
          <w:bCs/>
          <w:i/>
          <w:iCs/>
          <w:lang w:val="en-GB"/>
        </w:rPr>
        <w:t>T</w:t>
      </w:r>
      <w:r w:rsidRPr="0002046F">
        <w:rPr>
          <w:rFonts w:eastAsia="MS Mincho"/>
          <w:b/>
          <w:bCs/>
          <w:i/>
          <w:iCs/>
          <w:lang w:val="en-GB"/>
        </w:rPr>
        <w:t xml:space="preserve">ype 2 </w:t>
      </w:r>
      <w:r w:rsidR="0073325D">
        <w:rPr>
          <w:rFonts w:eastAsia="MS Mincho"/>
          <w:b/>
          <w:bCs/>
          <w:i/>
          <w:iCs/>
          <w:lang w:val="en-GB"/>
        </w:rPr>
        <w:t xml:space="preserve">DMRS </w:t>
      </w:r>
      <w:r w:rsidRPr="0002046F">
        <w:rPr>
          <w:rFonts w:eastAsia="MS Mincho"/>
          <w:b/>
          <w:bCs/>
          <w:i/>
          <w:iCs/>
          <w:lang w:val="en-GB"/>
        </w:rPr>
        <w:t>sequences with spectrum extension can be further studied.</w:t>
      </w:r>
    </w:p>
    <w:p w14:paraId="6C7A3305" w14:textId="77777777" w:rsidR="0002046F" w:rsidRPr="0002046F" w:rsidRDefault="0002046F" w:rsidP="0002046F">
      <w:pPr>
        <w:autoSpaceDE/>
        <w:autoSpaceDN/>
        <w:adjustRightInd/>
        <w:snapToGrid/>
        <w:rPr>
          <w:rFonts w:eastAsia="MS Mincho"/>
        </w:rPr>
      </w:pPr>
      <w:r w:rsidRPr="0002046F">
        <w:rPr>
          <w:rFonts w:eastAsia="Batang"/>
          <w:iCs/>
        </w:rPr>
        <w:t xml:space="preserve">For short DMRS sequence (length 6/12/18/24), the </w:t>
      </w:r>
      <w:r w:rsidRPr="0002046F">
        <w:rPr>
          <w:rFonts w:eastAsia="MS Mincho"/>
        </w:rPr>
        <w:t>following two approaches can be studied.</w:t>
      </w:r>
    </w:p>
    <w:p w14:paraId="27043A5C" w14:textId="77777777" w:rsidR="0002046F" w:rsidRPr="0002046F" w:rsidRDefault="0002046F" w:rsidP="00283F57">
      <w:pPr>
        <w:numPr>
          <w:ilvl w:val="0"/>
          <w:numId w:val="15"/>
        </w:numPr>
        <w:autoSpaceDE/>
        <w:autoSpaceDN/>
        <w:adjustRightInd/>
        <w:snapToGrid/>
        <w:spacing w:before="120" w:after="180"/>
        <w:contextualSpacing/>
        <w:jc w:val="left"/>
        <w:rPr>
          <w:rFonts w:eastAsia="MS Mincho"/>
        </w:rPr>
      </w:pPr>
      <w:r w:rsidRPr="0002046F">
        <w:rPr>
          <w:rFonts w:eastAsia="MS Mincho"/>
        </w:rPr>
        <w:t>Approach A – the DMRS sequence is extended: A DMRS sequence is generated considering the number of PRBs in the inband (no extension). The sequence length depends on the number of PRBs in the inband. Two sequence types can be considered:</w:t>
      </w:r>
    </w:p>
    <w:p w14:paraId="683F927E" w14:textId="77777777" w:rsidR="0002046F" w:rsidRPr="0002046F" w:rsidRDefault="0002046F" w:rsidP="00283F57">
      <w:pPr>
        <w:numPr>
          <w:ilvl w:val="1"/>
          <w:numId w:val="15"/>
        </w:numPr>
        <w:autoSpaceDE/>
        <w:autoSpaceDN/>
        <w:adjustRightInd/>
        <w:snapToGrid/>
        <w:spacing w:before="120" w:after="180"/>
        <w:contextualSpacing/>
        <w:jc w:val="left"/>
        <w:rPr>
          <w:rFonts w:eastAsia="MS Mincho"/>
        </w:rPr>
      </w:pPr>
      <w:r w:rsidRPr="0002046F">
        <w:rPr>
          <w:rFonts w:eastAsia="MS Mincho"/>
        </w:rPr>
        <w:t xml:space="preserve">A.1: The sequence is obtained by DFT transformation of an existing DMRS sequence, e.g., Type 1 DMRS sequence. </w:t>
      </w:r>
    </w:p>
    <w:p w14:paraId="69E3D904" w14:textId="77777777" w:rsidR="0002046F" w:rsidRPr="0002046F" w:rsidRDefault="0002046F" w:rsidP="00283F57">
      <w:pPr>
        <w:numPr>
          <w:ilvl w:val="1"/>
          <w:numId w:val="15"/>
        </w:numPr>
        <w:autoSpaceDE/>
        <w:autoSpaceDN/>
        <w:adjustRightInd/>
        <w:snapToGrid/>
        <w:spacing w:before="120" w:after="180"/>
        <w:contextualSpacing/>
        <w:jc w:val="left"/>
        <w:rPr>
          <w:rFonts w:eastAsia="MS Mincho"/>
        </w:rPr>
      </w:pPr>
      <w:r w:rsidRPr="0002046F">
        <w:rPr>
          <w:rFonts w:eastAsia="MS Mincho"/>
        </w:rPr>
        <w:t>A.2: The sequence is a Type 1 or Type 2 DMRS sequence.</w:t>
      </w:r>
    </w:p>
    <w:p w14:paraId="65096836" w14:textId="77777777" w:rsidR="0002046F" w:rsidRPr="0002046F" w:rsidRDefault="0002046F" w:rsidP="0002046F">
      <w:pPr>
        <w:autoSpaceDE/>
        <w:autoSpaceDN/>
        <w:adjustRightInd/>
        <w:snapToGrid/>
        <w:spacing w:before="120"/>
        <w:ind w:left="284" w:firstLine="284"/>
        <w:jc w:val="left"/>
        <w:rPr>
          <w:rFonts w:eastAsia="MS Mincho"/>
        </w:rPr>
      </w:pPr>
      <w:r w:rsidRPr="0002046F">
        <w:rPr>
          <w:rFonts w:eastAsia="MS Mincho"/>
        </w:rPr>
        <w:t xml:space="preserve">   FFS: how the sequence is extended. </w:t>
      </w:r>
    </w:p>
    <w:p w14:paraId="34EFBFD3" w14:textId="77777777" w:rsidR="0002046F" w:rsidRPr="0002046F" w:rsidRDefault="0002046F" w:rsidP="00283F57">
      <w:pPr>
        <w:numPr>
          <w:ilvl w:val="0"/>
          <w:numId w:val="15"/>
        </w:numPr>
        <w:autoSpaceDE/>
        <w:autoSpaceDN/>
        <w:adjustRightInd/>
        <w:snapToGrid/>
        <w:spacing w:before="120" w:after="180"/>
        <w:contextualSpacing/>
        <w:jc w:val="left"/>
        <w:rPr>
          <w:rFonts w:eastAsia="MS Mincho"/>
        </w:rPr>
      </w:pPr>
      <w:r w:rsidRPr="0002046F">
        <w:rPr>
          <w:rFonts w:eastAsia="MS Mincho"/>
        </w:rPr>
        <w:t>Approach B – the DMRS sequence is not extended: A DMRS sequence based on type 1 or type 2 DMRS sequence is generated considering the number of PRBs in the inband + extension. The sequence length depends on the number of PRBs in the inband + extension.</w:t>
      </w:r>
    </w:p>
    <w:p w14:paraId="6C9EE42E" w14:textId="77777777" w:rsidR="0002046F" w:rsidRPr="0002046F" w:rsidRDefault="0002046F" w:rsidP="0002046F">
      <w:pPr>
        <w:autoSpaceDE/>
        <w:autoSpaceDN/>
        <w:adjustRightInd/>
        <w:snapToGrid/>
        <w:spacing w:before="120"/>
        <w:ind w:leftChars="400" w:left="880"/>
        <w:jc w:val="left"/>
        <w:rPr>
          <w:rFonts w:eastAsia="MS Mincho"/>
        </w:rPr>
      </w:pPr>
      <w:r w:rsidRPr="0002046F">
        <w:rPr>
          <w:rFonts w:eastAsia="MS Mincho"/>
        </w:rPr>
        <w:t>Note: if type 2 is used then both the number of PRBs in the inband and the number of PRBs in the inband+extension must be valid DFT sizes as per NR specification</w:t>
      </w:r>
    </w:p>
    <w:p w14:paraId="26A4B372" w14:textId="2A324E41" w:rsidR="0002046F" w:rsidRPr="0002046F" w:rsidRDefault="0002046F" w:rsidP="0002046F">
      <w:pPr>
        <w:autoSpaceDE/>
        <w:autoSpaceDN/>
        <w:adjustRightInd/>
        <w:snapToGrid/>
        <w:rPr>
          <w:rFonts w:eastAsia="MS Mincho"/>
          <w:b/>
          <w:bCs/>
          <w:i/>
          <w:iCs/>
          <w:lang w:val="en-GB"/>
        </w:rPr>
      </w:pPr>
      <w:r w:rsidRPr="0002046F">
        <w:rPr>
          <w:rFonts w:eastAsia="Batang"/>
          <w:iCs/>
        </w:rPr>
        <w:t xml:space="preserve">When RB allocations resulting in DMRS sequence length smaller than 30 before extension of the sequence, low PAPR </w:t>
      </w:r>
      <w:r w:rsidR="000C1D0A">
        <w:rPr>
          <w:rFonts w:eastAsia="Batang"/>
          <w:iCs/>
        </w:rPr>
        <w:t>T</w:t>
      </w:r>
      <w:r w:rsidRPr="0002046F">
        <w:rPr>
          <w:rFonts w:eastAsia="Batang"/>
          <w:iCs/>
        </w:rPr>
        <w:t xml:space="preserve">ype 1 DMRS </w:t>
      </w:r>
      <w:r w:rsidRPr="0002046F">
        <w:rPr>
          <w:rFonts w:eastAsia="Batang" w:hint="eastAsia"/>
          <w:iCs/>
        </w:rPr>
        <w:t>sequence</w:t>
      </w:r>
      <w:r w:rsidRPr="0002046F">
        <w:rPr>
          <w:rFonts w:eastAsia="Batang"/>
          <w:iCs/>
        </w:rPr>
        <w:t xml:space="preserve"> </w:t>
      </w:r>
      <w:r w:rsidRPr="0002046F">
        <w:rPr>
          <w:rFonts w:eastAsia="Batang" w:hint="eastAsia"/>
          <w:iCs/>
        </w:rPr>
        <w:t>is</w:t>
      </w:r>
      <w:r w:rsidRPr="0002046F">
        <w:rPr>
          <w:rFonts w:eastAsia="Batang"/>
          <w:iCs/>
        </w:rPr>
        <w:t xml:space="preserve"> generated based on computer-generated sequences (CGS) and not ZC sequence. In this case, performing spectrum extension will destroy the low PAPR characteristic.  That means even cyclic</w:t>
      </w:r>
      <w:r w:rsidRPr="0002046F">
        <w:rPr>
          <w:rFonts w:eastAsia="MS Mincho"/>
        </w:rPr>
        <w:t xml:space="preserve"> extension</w:t>
      </w:r>
      <w:r w:rsidRPr="0002046F">
        <w:rPr>
          <w:rFonts w:eastAsia="Batang"/>
          <w:iCs/>
        </w:rPr>
        <w:t xml:space="preserve"> of low PAPR </w:t>
      </w:r>
      <w:r w:rsidR="000C1D0A">
        <w:rPr>
          <w:rFonts w:eastAsia="Batang"/>
          <w:iCs/>
        </w:rPr>
        <w:t>T</w:t>
      </w:r>
      <w:r w:rsidRPr="0002046F">
        <w:rPr>
          <w:rFonts w:eastAsia="Batang"/>
          <w:iCs/>
        </w:rPr>
        <w:t>ype 1 DMRS sequence cannot meet the DMRS PAPR performance requirement.</w:t>
      </w:r>
      <w:r w:rsidRPr="0002046F">
        <w:rPr>
          <w:rFonts w:eastAsia="宋体" w:hint="eastAsia"/>
          <w:b/>
          <w:bCs/>
          <w:i/>
          <w:iCs/>
          <w:lang w:val="en-GB" w:eastAsia="zh-CN"/>
        </w:rPr>
        <w:t xml:space="preserve"> </w:t>
      </w:r>
      <w:r w:rsidRPr="0002046F">
        <w:rPr>
          <w:rFonts w:eastAsia="Batang"/>
          <w:iCs/>
        </w:rPr>
        <w:t xml:space="preserve">Thus, for in-band DMRS lengths 6/12/18/24, new DMRS sequence can be obtained by DFT transformation of low PAPR </w:t>
      </w:r>
      <w:r w:rsidR="000C1D0A">
        <w:rPr>
          <w:rFonts w:eastAsia="Batang"/>
          <w:iCs/>
        </w:rPr>
        <w:t>T</w:t>
      </w:r>
      <w:r w:rsidRPr="0002046F">
        <w:rPr>
          <w:rFonts w:eastAsia="Batang"/>
          <w:iCs/>
        </w:rPr>
        <w:t>ype 1 sequence, which results in low CM</w:t>
      </w:r>
      <w:r w:rsidR="000C1D0A">
        <w:rPr>
          <w:rFonts w:eastAsia="Batang"/>
          <w:iCs/>
        </w:rPr>
        <w:t>/PAPR</w:t>
      </w:r>
      <w:r w:rsidRPr="0002046F">
        <w:rPr>
          <w:rFonts w:eastAsia="Batang"/>
          <w:iCs/>
        </w:rPr>
        <w:t xml:space="preserve">. However, </w:t>
      </w:r>
      <w:r w:rsidRPr="0002046F">
        <w:rPr>
          <w:rFonts w:eastAsia="MS Mincho"/>
        </w:rPr>
        <w:t>Approach A.1</w:t>
      </w:r>
      <w:r w:rsidRPr="0002046F">
        <w:rPr>
          <w:rFonts w:eastAsia="Batang"/>
          <w:iCs/>
        </w:rPr>
        <w:t xml:space="preserve"> needs additional specification effort and </w:t>
      </w:r>
      <w:r w:rsidRPr="0002046F">
        <w:rPr>
          <w:rFonts w:eastAsia="Batang" w:hint="eastAsia"/>
          <w:iCs/>
        </w:rPr>
        <w:t>could</w:t>
      </w:r>
      <w:r w:rsidRPr="0002046F">
        <w:rPr>
          <w:rFonts w:eastAsia="Batang"/>
          <w:iCs/>
        </w:rPr>
        <w:t xml:space="preserve"> </w:t>
      </w:r>
      <w:r w:rsidRPr="0002046F">
        <w:rPr>
          <w:rFonts w:eastAsia="Batang" w:hint="eastAsia"/>
          <w:iCs/>
        </w:rPr>
        <w:t>b</w:t>
      </w:r>
      <w:r w:rsidRPr="0002046F">
        <w:rPr>
          <w:rFonts w:eastAsia="Batang"/>
          <w:iCs/>
        </w:rPr>
        <w:t xml:space="preserve">e </w:t>
      </w:r>
      <w:r w:rsidRPr="0002046F">
        <w:rPr>
          <w:rFonts w:eastAsia="Batang" w:hint="eastAsia"/>
          <w:iCs/>
        </w:rPr>
        <w:t>further</w:t>
      </w:r>
      <w:r w:rsidRPr="0002046F">
        <w:rPr>
          <w:rFonts w:eastAsia="Batang"/>
          <w:iCs/>
        </w:rPr>
        <w:t xml:space="preserve"> </w:t>
      </w:r>
      <w:r w:rsidRPr="0002046F">
        <w:rPr>
          <w:rFonts w:eastAsia="Batang" w:hint="eastAsia"/>
          <w:iCs/>
        </w:rPr>
        <w:t>studied</w:t>
      </w:r>
      <w:r w:rsidRPr="0002046F">
        <w:rPr>
          <w:rFonts w:eastAsia="Batang"/>
          <w:iCs/>
        </w:rPr>
        <w:t>. If short DMRS sequence for FDSS-SE is supported in the future, cyclic</w:t>
      </w:r>
      <w:r w:rsidRPr="0002046F">
        <w:rPr>
          <w:rFonts w:eastAsia="MS Mincho"/>
        </w:rPr>
        <w:t xml:space="preserve"> extension</w:t>
      </w:r>
      <w:r w:rsidRPr="0002046F">
        <w:rPr>
          <w:rFonts w:eastAsia="Batang"/>
          <w:iCs/>
        </w:rPr>
        <w:t xml:space="preserve"> of low PAPR </w:t>
      </w:r>
      <w:r w:rsidR="000C1D0A">
        <w:rPr>
          <w:rFonts w:eastAsia="Batang"/>
          <w:iCs/>
        </w:rPr>
        <w:t>T</w:t>
      </w:r>
      <w:r w:rsidRPr="0002046F">
        <w:rPr>
          <w:rFonts w:eastAsia="Batang"/>
          <w:iCs/>
        </w:rPr>
        <w:t xml:space="preserve">ype 2 DMRS sequence can also be consider. </w:t>
      </w:r>
    </w:p>
    <w:p w14:paraId="1784E446" w14:textId="77777777" w:rsidR="0002046F" w:rsidRPr="0002046F" w:rsidRDefault="0002046F" w:rsidP="0002046F">
      <w:pPr>
        <w:autoSpaceDE/>
        <w:autoSpaceDN/>
        <w:adjustRightInd/>
        <w:snapToGrid/>
        <w:rPr>
          <w:rFonts w:eastAsia="MS Mincho"/>
          <w:b/>
          <w:bCs/>
          <w:i/>
          <w:iCs/>
          <w:lang w:val="en-GB"/>
        </w:rPr>
      </w:pPr>
      <w:r w:rsidRPr="0002046F">
        <w:rPr>
          <w:rFonts w:eastAsia="MS Mincho" w:hint="eastAsia"/>
          <w:b/>
          <w:bCs/>
          <w:i/>
          <w:iCs/>
          <w:lang w:val="en-GB"/>
        </w:rPr>
        <w:t>P</w:t>
      </w:r>
      <w:r w:rsidRPr="0002046F">
        <w:rPr>
          <w:rFonts w:eastAsia="MS Mincho"/>
          <w:b/>
          <w:bCs/>
          <w:i/>
          <w:iCs/>
          <w:lang w:val="en-GB"/>
        </w:rPr>
        <w:t>roposal 3. The applicable DMRS sequence require further study for short DMRS sequence.</w:t>
      </w:r>
    </w:p>
    <w:p w14:paraId="60360C52" w14:textId="77777777" w:rsidR="0002046F" w:rsidRPr="0002046F" w:rsidRDefault="0002046F" w:rsidP="0002046F">
      <w:pPr>
        <w:autoSpaceDE/>
        <w:autoSpaceDN/>
        <w:adjustRightInd/>
        <w:snapToGrid/>
        <w:spacing w:after="180"/>
        <w:jc w:val="left"/>
        <w:rPr>
          <w:rFonts w:eastAsia="MS Mincho"/>
          <w:b/>
          <w:szCs w:val="20"/>
          <w:u w:val="single"/>
          <w:lang w:val="en-GB" w:eastAsia="x-none"/>
        </w:rPr>
      </w:pPr>
      <w:r w:rsidRPr="0002046F">
        <w:rPr>
          <w:rFonts w:eastAsia="MS Mincho"/>
          <w:b/>
          <w:szCs w:val="20"/>
          <w:u w:val="single"/>
          <w:lang w:val="en-GB" w:eastAsia="x-none"/>
        </w:rPr>
        <w:t xml:space="preserve">Determination of extension size </w:t>
      </w:r>
    </w:p>
    <w:p w14:paraId="14839D27" w14:textId="77777777" w:rsidR="0002046F" w:rsidRPr="0002046F" w:rsidRDefault="0002046F" w:rsidP="0002046F">
      <w:pPr>
        <w:autoSpaceDE/>
        <w:autoSpaceDN/>
        <w:adjustRightInd/>
        <w:snapToGrid/>
        <w:rPr>
          <w:rFonts w:eastAsia="宋体"/>
          <w:lang w:val="en-GB" w:eastAsia="zh-CN"/>
        </w:rPr>
      </w:pPr>
      <w:r w:rsidRPr="0002046F">
        <w:rPr>
          <w:rFonts w:eastAsia="宋体"/>
          <w:lang w:val="en-GB" w:eastAsia="zh-CN"/>
        </w:rPr>
        <w:t xml:space="preserve">For FDSS without spectrum extension, DFT size is the subcarrier number allocated for UL transmission, so there is no specific signalling for DFT size. However, for FDSS with spectrum extension, </w:t>
      </w:r>
      <w:r w:rsidRPr="0002046F">
        <w:rPr>
          <w:rFonts w:eastAsia="宋体" w:hint="eastAsia"/>
          <w:lang w:val="en-GB" w:eastAsia="zh-CN"/>
        </w:rPr>
        <w:t>DFT</w:t>
      </w:r>
      <w:r w:rsidRPr="0002046F">
        <w:rPr>
          <w:rFonts w:eastAsia="宋体"/>
          <w:lang w:val="en-GB" w:eastAsia="zh-CN"/>
        </w:rPr>
        <w:t xml:space="preserve"> size is smaller than FDSS spectrum extension size, new definition or relationship among </w:t>
      </w:r>
      <w:r w:rsidRPr="0002046F">
        <w:rPr>
          <w:rFonts w:eastAsia="宋体" w:hint="eastAsia"/>
          <w:lang w:val="en-GB" w:eastAsia="zh-CN"/>
        </w:rPr>
        <w:t>DFT</w:t>
      </w:r>
      <w:r w:rsidRPr="0002046F">
        <w:rPr>
          <w:rFonts w:eastAsia="宋体"/>
          <w:lang w:val="en-GB" w:eastAsia="zh-CN"/>
        </w:rPr>
        <w:t xml:space="preserve"> size, FDSS spectrum extension size, and allocation RB size should be studied. Basically, there can be two options:</w:t>
      </w:r>
    </w:p>
    <w:p w14:paraId="1830A235" w14:textId="77777777" w:rsidR="0002046F" w:rsidRPr="0002046F" w:rsidRDefault="0002046F" w:rsidP="00283F57">
      <w:pPr>
        <w:numPr>
          <w:ilvl w:val="0"/>
          <w:numId w:val="13"/>
        </w:numPr>
        <w:autoSpaceDE/>
        <w:autoSpaceDN/>
        <w:adjustRightInd/>
        <w:snapToGrid/>
        <w:spacing w:after="180"/>
        <w:jc w:val="left"/>
        <w:rPr>
          <w:rFonts w:eastAsia="MS Mincho"/>
          <w:lang w:val="en-GB"/>
        </w:rPr>
      </w:pPr>
      <w:r w:rsidRPr="0002046F">
        <w:rPr>
          <w:rFonts w:eastAsia="MS Mincho"/>
          <w:lang w:val="en-GB"/>
        </w:rPr>
        <w:t xml:space="preserve">Option 1: </w:t>
      </w:r>
      <w:r w:rsidRPr="0002046F">
        <w:rPr>
          <w:rFonts w:eastAsia="MS Mincho" w:hint="eastAsia"/>
          <w:lang w:val="en-GB"/>
        </w:rPr>
        <w:t>DFT size</w:t>
      </w:r>
      <w:r w:rsidRPr="0002046F">
        <w:rPr>
          <w:rFonts w:eastAsia="MS Mincho"/>
          <w:lang w:val="en-GB"/>
        </w:rPr>
        <w:t xml:space="preserve"> (N)</w:t>
      </w:r>
      <w:r w:rsidRPr="0002046F">
        <w:rPr>
          <w:rFonts w:eastAsia="MS Mincho" w:hint="eastAsia"/>
          <w:lang w:val="en-GB"/>
        </w:rPr>
        <w:t xml:space="preserve"> is the same as number of allocated subcarriers</w:t>
      </w:r>
      <w:bookmarkStart w:id="4" w:name="OLE_LINK1"/>
      <w:bookmarkStart w:id="5" w:name="OLE_LINK2"/>
      <w:r w:rsidRPr="0002046F">
        <w:rPr>
          <w:rFonts w:eastAsia="MS Mincho"/>
          <w:lang w:val="en-GB"/>
        </w:rPr>
        <w:t xml:space="preserve"> in frequency domain resource allocation</w:t>
      </w:r>
      <w:bookmarkEnd w:id="4"/>
      <w:bookmarkEnd w:id="5"/>
      <w:r w:rsidRPr="0002046F">
        <w:rPr>
          <w:rFonts w:eastAsia="MS Mincho"/>
          <w:lang w:val="en-GB"/>
        </w:rPr>
        <w:t xml:space="preserve">. FDSS spectrum extension size (F) has a larger size, with the extension factor to the DFT size, configured by higher layer signalling or indicated by DCI. One issue is if extension factor applied, the total allocated resource size how to get the integer PRB numbers, it may lead to data mapping to resource blocks change. </w:t>
      </w:r>
    </w:p>
    <w:p w14:paraId="1CCB9835" w14:textId="77777777" w:rsidR="0002046F" w:rsidRPr="0002046F" w:rsidRDefault="0002046F" w:rsidP="00283F57">
      <w:pPr>
        <w:numPr>
          <w:ilvl w:val="0"/>
          <w:numId w:val="13"/>
        </w:numPr>
        <w:autoSpaceDE/>
        <w:autoSpaceDN/>
        <w:adjustRightInd/>
        <w:snapToGrid/>
        <w:spacing w:after="180"/>
        <w:jc w:val="left"/>
        <w:rPr>
          <w:rFonts w:eastAsia="MS Mincho"/>
          <w:lang w:val="en-GB"/>
        </w:rPr>
      </w:pPr>
      <w:r w:rsidRPr="0002046F">
        <w:rPr>
          <w:rFonts w:eastAsia="MS Mincho"/>
          <w:lang w:val="en-GB"/>
        </w:rPr>
        <w:t xml:space="preserve">Option 2: FDSS spectrum extension size is the same as </w:t>
      </w:r>
      <w:r w:rsidRPr="0002046F">
        <w:rPr>
          <w:rFonts w:eastAsia="MS Mincho" w:hint="eastAsia"/>
          <w:lang w:val="en-GB"/>
        </w:rPr>
        <w:t>number of allocated subcarriers</w:t>
      </w:r>
      <w:r w:rsidRPr="0002046F">
        <w:rPr>
          <w:rFonts w:eastAsia="MS Mincho"/>
          <w:lang w:val="en-GB"/>
        </w:rPr>
        <w:t xml:space="preserve"> in frequency domain resource allocation. </w:t>
      </w:r>
      <w:r w:rsidRPr="0002046F">
        <w:rPr>
          <w:rFonts w:eastAsia="等线"/>
          <w:lang w:eastAsia="zh-CN"/>
        </w:rPr>
        <w:t xml:space="preserve">FDRA indicator provides the indication for in band and excess band. </w:t>
      </w:r>
      <w:r w:rsidRPr="0002046F">
        <w:rPr>
          <w:rFonts w:eastAsia="MS Mincho"/>
          <w:lang w:val="en-GB"/>
        </w:rPr>
        <w:t xml:space="preserve">DFT size (N) should be additionally informed or configured, such as a scaling factor </w:t>
      </w:r>
      <w:r w:rsidRPr="0002046F">
        <w:rPr>
          <w:rFonts w:eastAsia="Microsoft YaHei UI" w:cs="Times"/>
          <w:i/>
          <w:lang w:val="en-GB"/>
        </w:rPr>
        <w:t xml:space="preserve">(α) </w:t>
      </w:r>
      <w:r w:rsidRPr="0002046F">
        <w:rPr>
          <w:rFonts w:eastAsia="MS Mincho"/>
          <w:lang w:val="en-GB"/>
        </w:rPr>
        <w:t xml:space="preserve">smaller than 1. But one serious problem is how to satisfy the DFT size requirements.  </w:t>
      </w:r>
    </w:p>
    <w:p w14:paraId="499AF1A2" w14:textId="77777777" w:rsidR="0002046F" w:rsidRPr="0002046F" w:rsidRDefault="0002046F" w:rsidP="0002046F">
      <w:pPr>
        <w:autoSpaceDE/>
        <w:autoSpaceDN/>
        <w:adjustRightInd/>
        <w:snapToGrid/>
        <w:rPr>
          <w:rFonts w:eastAsia="MS Mincho"/>
          <w:lang w:val="en-GB"/>
        </w:rPr>
      </w:pPr>
      <w:r w:rsidRPr="0002046F">
        <w:rPr>
          <w:rFonts w:eastAsia="MS Mincho"/>
          <w:lang w:val="en-GB"/>
        </w:rPr>
        <w:lastRenderedPageBreak/>
        <w:t xml:space="preserve">In conclusion, both of Option 1 and Option 2 have some issues on resource allocation, new signalling, and RB granularity resource mapping. All of them have to consider together with the performance gain.  In R17, DFT size can be express as multiple of  </w:t>
      </w:r>
      <m:oMath>
        <m:sSup>
          <m:sSupPr>
            <m:ctrlPr>
              <w:rPr>
                <w:rFonts w:ascii="Cambria Math" w:eastAsia="MS Mincho" w:hAnsi="Cambria Math"/>
                <w:lang w:val="en-GB"/>
              </w:rPr>
            </m:ctrlPr>
          </m:sSupPr>
          <m:e>
            <m:r>
              <m:rPr>
                <m:sty m:val="p"/>
              </m:rPr>
              <w:rPr>
                <w:rFonts w:ascii="Cambria Math" w:eastAsia="MS Mincho" w:hAnsi="Cambria Math"/>
                <w:lang w:val="en-GB"/>
              </w:rPr>
              <m:t>2</m:t>
            </m:r>
          </m:e>
          <m:sup>
            <m:r>
              <w:rPr>
                <w:rFonts w:ascii="Cambria Math" w:eastAsia="MS Mincho" w:hAnsi="Cambria Math"/>
                <w:lang w:val="en-GB"/>
              </w:rPr>
              <m:t>a</m:t>
            </m:r>
          </m:sup>
        </m:sSup>
        <m:r>
          <m:rPr>
            <m:sty m:val="p"/>
          </m:rPr>
          <w:rPr>
            <w:rFonts w:ascii="Cambria Math" w:eastAsia="MS Mincho" w:hAnsi="Cambria Math"/>
            <w:lang w:val="en-GB"/>
          </w:rPr>
          <m:t>* </m:t>
        </m:r>
        <m:sSup>
          <m:sSupPr>
            <m:ctrlPr>
              <w:rPr>
                <w:rFonts w:ascii="Cambria Math" w:eastAsia="MS Mincho" w:hAnsi="Cambria Math"/>
                <w:lang w:val="en-GB"/>
              </w:rPr>
            </m:ctrlPr>
          </m:sSupPr>
          <m:e>
            <m:r>
              <m:rPr>
                <m:sty m:val="p"/>
              </m:rPr>
              <w:rPr>
                <w:rFonts w:ascii="Cambria Math" w:eastAsia="MS Mincho" w:hAnsi="Cambria Math"/>
                <w:lang w:val="en-GB"/>
              </w:rPr>
              <m:t>3</m:t>
            </m:r>
          </m:e>
          <m:sup>
            <m:r>
              <w:rPr>
                <w:rFonts w:ascii="Cambria Math" w:eastAsia="MS Mincho" w:hAnsi="Cambria Math"/>
                <w:lang w:val="en-GB"/>
              </w:rPr>
              <m:t>b</m:t>
            </m:r>
          </m:sup>
        </m:sSup>
        <m:r>
          <m:rPr>
            <m:sty m:val="p"/>
          </m:rPr>
          <w:rPr>
            <w:rFonts w:ascii="Cambria Math" w:eastAsia="MS Mincho" w:hAnsi="Cambria Math"/>
            <w:lang w:val="en-GB"/>
          </w:rPr>
          <m:t>* </m:t>
        </m:r>
        <m:sSup>
          <m:sSupPr>
            <m:ctrlPr>
              <w:rPr>
                <w:rFonts w:ascii="Cambria Math" w:eastAsia="MS Mincho" w:hAnsi="Cambria Math"/>
                <w:lang w:val="en-GB"/>
              </w:rPr>
            </m:ctrlPr>
          </m:sSupPr>
          <m:e>
            <m:r>
              <m:rPr>
                <m:sty m:val="p"/>
              </m:rPr>
              <w:rPr>
                <w:rFonts w:ascii="Cambria Math" w:eastAsia="MS Mincho" w:hAnsi="Cambria Math"/>
                <w:lang w:val="en-GB"/>
              </w:rPr>
              <m:t>5</m:t>
            </m:r>
          </m:e>
          <m:sup>
            <m:r>
              <w:rPr>
                <w:rFonts w:ascii="Cambria Math" w:eastAsia="MS Mincho" w:hAnsi="Cambria Math"/>
                <w:lang w:val="en-GB"/>
              </w:rPr>
              <m:t>c</m:t>
            </m:r>
          </m:sup>
        </m:sSup>
      </m:oMath>
      <w:r w:rsidRPr="0002046F">
        <w:rPr>
          <w:rFonts w:eastAsia="MS Mincho"/>
          <w:lang w:val="en-GB"/>
        </w:rPr>
        <w:t xml:space="preserve">, where [a, b, c]  is a set of non-negative integers. </w:t>
      </w:r>
      <w:r w:rsidRPr="0002046F">
        <w:rPr>
          <w:rFonts w:eastAsia="MS Mincho" w:hint="eastAsia"/>
          <w:lang w:val="en-GB"/>
        </w:rPr>
        <w:t xml:space="preserve">If </w:t>
      </w:r>
      <w:r w:rsidRPr="0002046F">
        <w:rPr>
          <w:rFonts w:eastAsia="MS Mincho"/>
          <w:lang w:val="en-GB"/>
        </w:rPr>
        <w:t>FDSS is an optional feature</w:t>
      </w:r>
      <w:r w:rsidRPr="0002046F">
        <w:rPr>
          <w:rFonts w:eastAsia="MS Mincho" w:hint="eastAsia"/>
          <w:lang w:val="en-GB"/>
        </w:rPr>
        <w:t xml:space="preserve"> for DFT-s-OFDM, from perspective of reducing standardization efforts, it is desirable to keep DFT size same as the number of allocated subcarriers regardless of whether FDSS is applied or not.</w:t>
      </w:r>
      <w:r w:rsidRPr="0002046F">
        <w:rPr>
          <w:rFonts w:eastAsia="宋体" w:hint="eastAsia"/>
          <w:lang w:val="en-GB" w:eastAsia="zh-CN"/>
        </w:rPr>
        <w:t xml:space="preserve"> </w:t>
      </w:r>
      <w:r w:rsidRPr="0002046F">
        <w:rPr>
          <w:rFonts w:eastAsia="MS Mincho"/>
          <w:lang w:val="en-GB"/>
        </w:rPr>
        <w:t>The original definition of DFT size should be unchanged. F</w:t>
      </w:r>
      <w:r w:rsidRPr="0002046F">
        <w:rPr>
          <w:rFonts w:eastAsia="等线"/>
          <w:lang w:eastAsia="zh-CN"/>
        </w:rPr>
        <w:t xml:space="preserve">DRA indicator provides the indication the inband size. In addition, it is necessary to study the scheme of generating </w:t>
      </w:r>
      <w:r w:rsidRPr="0002046F">
        <w:rPr>
          <w:rFonts w:eastAsia="MS Mincho"/>
          <w:lang w:val="en-GB"/>
        </w:rPr>
        <w:t>integer PRB numbers for the extension band.</w:t>
      </w:r>
    </w:p>
    <w:p w14:paraId="5834BF86" w14:textId="77777777" w:rsidR="0002046F" w:rsidRPr="0002046F" w:rsidRDefault="0002046F" w:rsidP="0002046F">
      <w:pPr>
        <w:autoSpaceDE/>
        <w:autoSpaceDN/>
        <w:adjustRightInd/>
        <w:snapToGrid/>
        <w:spacing w:after="180"/>
        <w:rPr>
          <w:rFonts w:eastAsia="宋体"/>
          <w:b/>
          <w:i/>
          <w:lang w:eastAsia="zh-CN"/>
        </w:rPr>
      </w:pPr>
      <w:r w:rsidRPr="0002046F">
        <w:rPr>
          <w:rFonts w:eastAsia="宋体"/>
          <w:b/>
          <w:i/>
          <w:lang w:eastAsia="zh-CN"/>
        </w:rPr>
        <w:t xml:space="preserve">Proposal 4. </w:t>
      </w:r>
      <w:r w:rsidRPr="0002046F">
        <w:rPr>
          <w:rFonts w:eastAsia="宋体"/>
          <w:b/>
          <w:i/>
          <w:lang w:val="en-GB" w:eastAsia="zh-CN"/>
        </w:rPr>
        <w:t>The FDRA field only indicates the number of PRBs in the inband.</w:t>
      </w:r>
      <w:r w:rsidRPr="0002046F">
        <w:rPr>
          <w:rFonts w:eastAsia="宋体"/>
          <w:b/>
          <w:i/>
          <w:lang w:eastAsia="zh-CN"/>
        </w:rPr>
        <w:t xml:space="preserve"> </w:t>
      </w:r>
    </w:p>
    <w:p w14:paraId="7AA45231" w14:textId="77777777" w:rsidR="0002046F" w:rsidRPr="0002046F" w:rsidRDefault="0002046F" w:rsidP="0002046F">
      <w:pPr>
        <w:autoSpaceDE/>
        <w:autoSpaceDN/>
        <w:adjustRightInd/>
        <w:snapToGrid/>
        <w:spacing w:after="180"/>
        <w:rPr>
          <w:rFonts w:eastAsia="宋体"/>
          <w:b/>
          <w:i/>
          <w:lang w:val="en-GB" w:eastAsia="zh-CN"/>
        </w:rPr>
      </w:pPr>
      <w:r w:rsidRPr="0002046F">
        <w:rPr>
          <w:rFonts w:eastAsia="宋体"/>
          <w:b/>
          <w:i/>
          <w:lang w:eastAsia="zh-CN"/>
        </w:rPr>
        <w:t xml:space="preserve">Proposal 5. </w:t>
      </w:r>
      <w:r w:rsidRPr="0002046F">
        <w:rPr>
          <w:rFonts w:eastAsia="宋体"/>
          <w:b/>
          <w:i/>
          <w:lang w:val="en-GB" w:eastAsia="zh-CN"/>
        </w:rPr>
        <w:t>The scheme of generating integer PRB numbers for the extension band should be studied.</w:t>
      </w:r>
    </w:p>
    <w:p w14:paraId="43BC23BE" w14:textId="491906D5" w:rsidR="0002046F" w:rsidRDefault="0002046F" w:rsidP="0002046F">
      <w:pPr>
        <w:pStyle w:val="3"/>
        <w:rPr>
          <w:lang w:eastAsia="zh-CN"/>
        </w:rPr>
      </w:pPr>
      <w:r w:rsidRPr="002273E2">
        <w:rPr>
          <w:lang w:eastAsia="zh-CN"/>
        </w:rPr>
        <w:t>Tone reservation</w:t>
      </w:r>
    </w:p>
    <w:p w14:paraId="4DE7FF09" w14:textId="77777777" w:rsidR="0002046F" w:rsidRPr="0002046F" w:rsidRDefault="0002046F" w:rsidP="0002046F">
      <w:pPr>
        <w:autoSpaceDE/>
        <w:autoSpaceDN/>
        <w:adjustRightInd/>
        <w:snapToGrid/>
        <w:spacing w:after="180"/>
        <w:rPr>
          <w:rFonts w:eastAsia="MS Mincho"/>
          <w:lang w:val="en-GB" w:eastAsia="ja-JP"/>
        </w:rPr>
      </w:pPr>
      <w:r w:rsidRPr="0002046F">
        <w:rPr>
          <w:rFonts w:eastAsia="MS Mincho"/>
          <w:lang w:val="en-GB" w:eastAsia="ja-JP"/>
        </w:rPr>
        <w:t xml:space="preserve">Tone reservation [3] uses extra sub-carriers to reducing the PAPR of UL transmission on the basis of sub-carriers for data. Those extra sub-carriers are served for generating a compensation signal to cancel peaks, so they are named Peak Reduction Tones (PRTs), which are non-overlapping with data tones. The Figure 2 illustrated the main structure of tone reservation. The PRTs are only located at end of the DFT pre-coded data. </w:t>
      </w:r>
    </w:p>
    <w:p w14:paraId="582FE17F" w14:textId="77777777" w:rsidR="0002046F" w:rsidRPr="0002046F" w:rsidRDefault="0002046F" w:rsidP="0002046F">
      <w:pPr>
        <w:autoSpaceDE/>
        <w:autoSpaceDN/>
        <w:adjustRightInd/>
        <w:snapToGrid/>
        <w:spacing w:after="180"/>
        <w:jc w:val="center"/>
        <w:rPr>
          <w:rFonts w:eastAsia="MS Mincho"/>
          <w:sz w:val="20"/>
          <w:szCs w:val="20"/>
          <w:lang w:val="en-GB"/>
        </w:rPr>
      </w:pPr>
      <w:r w:rsidRPr="0002046F">
        <w:rPr>
          <w:rFonts w:eastAsia="MS Mincho"/>
          <w:sz w:val="20"/>
          <w:szCs w:val="20"/>
          <w:lang w:val="en-GB"/>
        </w:rPr>
        <w:object w:dxaOrig="9821" w:dyaOrig="1581" w14:anchorId="78617590">
          <v:shape id="_x0000_i1026" type="#_x0000_t75" style="width:490.4pt;height:79.35pt" o:ole="">
            <v:imagedata r:id="rId10" o:title=""/>
          </v:shape>
          <o:OLEObject Type="Embed" ProgID="Visio.Drawing.15" ShapeID="_x0000_i1026" DrawAspect="Content" ObjectID="_1742401688" r:id="rId11"/>
        </w:object>
      </w:r>
    </w:p>
    <w:p w14:paraId="3FEAAE30" w14:textId="77777777" w:rsidR="0002046F" w:rsidRPr="0002046F" w:rsidRDefault="0002046F" w:rsidP="0002046F">
      <w:pPr>
        <w:autoSpaceDE/>
        <w:autoSpaceDN/>
        <w:adjustRightInd/>
        <w:snapToGrid/>
        <w:spacing w:before="120"/>
        <w:jc w:val="center"/>
        <w:rPr>
          <w:rFonts w:eastAsia="MS Mincho"/>
          <w:b/>
          <w:sz w:val="20"/>
          <w:szCs w:val="20"/>
          <w:lang w:val="en-GB" w:eastAsia="ja-JP"/>
        </w:rPr>
      </w:pPr>
      <w:r w:rsidRPr="0002046F">
        <w:rPr>
          <w:rFonts w:eastAsia="MS Mincho"/>
          <w:b/>
          <w:sz w:val="20"/>
          <w:szCs w:val="20"/>
          <w:lang w:val="en-GB"/>
        </w:rPr>
        <w:t xml:space="preserve">Figure </w:t>
      </w:r>
      <w:r w:rsidRPr="0002046F">
        <w:rPr>
          <w:rFonts w:eastAsia="MS Mincho"/>
          <w:b/>
          <w:sz w:val="20"/>
          <w:szCs w:val="20"/>
          <w:lang w:val="en-GB"/>
        </w:rPr>
        <w:fldChar w:fldCharType="begin"/>
      </w:r>
      <w:r w:rsidRPr="0002046F">
        <w:rPr>
          <w:rFonts w:eastAsia="MS Mincho"/>
          <w:b/>
          <w:sz w:val="20"/>
          <w:szCs w:val="20"/>
          <w:lang w:val="en-GB"/>
        </w:rPr>
        <w:instrText xml:space="preserve"> SEQ Figure \* ARABIC </w:instrText>
      </w:r>
      <w:r w:rsidRPr="0002046F">
        <w:rPr>
          <w:rFonts w:eastAsia="MS Mincho"/>
          <w:b/>
          <w:sz w:val="20"/>
          <w:szCs w:val="20"/>
          <w:lang w:val="en-GB"/>
        </w:rPr>
        <w:fldChar w:fldCharType="separate"/>
      </w:r>
      <w:r w:rsidRPr="0002046F">
        <w:rPr>
          <w:rFonts w:eastAsia="MS Mincho"/>
          <w:b/>
          <w:noProof/>
          <w:sz w:val="20"/>
          <w:szCs w:val="20"/>
          <w:lang w:val="en-GB"/>
        </w:rPr>
        <w:t>2</w:t>
      </w:r>
      <w:r w:rsidRPr="0002046F">
        <w:rPr>
          <w:rFonts w:eastAsia="MS Mincho"/>
          <w:b/>
          <w:sz w:val="20"/>
          <w:szCs w:val="20"/>
          <w:lang w:val="en-GB"/>
        </w:rPr>
        <w:fldChar w:fldCharType="end"/>
      </w:r>
      <w:r w:rsidRPr="0002046F">
        <w:rPr>
          <w:rFonts w:eastAsia="MS Mincho"/>
          <w:b/>
          <w:sz w:val="20"/>
          <w:szCs w:val="20"/>
          <w:lang w:val="en-GB"/>
        </w:rPr>
        <w:t xml:space="preserve">: </w:t>
      </w:r>
      <w:r w:rsidRPr="0002046F">
        <w:rPr>
          <w:rFonts w:eastAsia="MS Mincho"/>
          <w:b/>
          <w:sz w:val="20"/>
          <w:szCs w:val="20"/>
          <w:lang w:val="en-GB" w:eastAsia="ja-JP"/>
        </w:rPr>
        <w:t>Main structure of tone reservation</w:t>
      </w:r>
    </w:p>
    <w:p w14:paraId="2929343E" w14:textId="77777777" w:rsidR="0002046F" w:rsidRPr="0002046F" w:rsidRDefault="0002046F" w:rsidP="00283F57">
      <w:pPr>
        <w:numPr>
          <w:ilvl w:val="0"/>
          <w:numId w:val="16"/>
        </w:numPr>
        <w:autoSpaceDE/>
        <w:autoSpaceDN/>
        <w:adjustRightInd/>
        <w:snapToGrid/>
        <w:spacing w:after="180"/>
        <w:ind w:left="0" w:firstLine="0"/>
        <w:jc w:val="left"/>
        <w:rPr>
          <w:rFonts w:eastAsia="MS Mincho"/>
          <w:lang w:val="en-GB" w:eastAsia="zh-CN"/>
        </w:rPr>
      </w:pPr>
      <w:r w:rsidRPr="0002046F">
        <w:rPr>
          <w:rFonts w:eastAsia="MS Mincho"/>
          <w:lang w:val="en-GB" w:eastAsia="zh-CN"/>
        </w:rPr>
        <w:t>It was agreed to study the sideband tone reservation, which the</w:t>
      </w:r>
      <w:r w:rsidRPr="0002046F">
        <w:rPr>
          <w:rFonts w:eastAsia="宋体"/>
          <w:lang w:val="en-GB" w:eastAsia="zh-CN"/>
        </w:rPr>
        <w:t xml:space="preserve"> frequency resources next to the data frequency allocation is used for PRT.  However, due to the PRTs are changed every time according to PUSCH, it would lead to high UE computation complexity. </w:t>
      </w:r>
    </w:p>
    <w:p w14:paraId="2CC5E8F8" w14:textId="77777777" w:rsidR="0002046F" w:rsidRPr="0002046F" w:rsidRDefault="0002046F" w:rsidP="0002046F">
      <w:pPr>
        <w:autoSpaceDE/>
        <w:autoSpaceDN/>
        <w:adjustRightInd/>
        <w:snapToGrid/>
        <w:spacing w:after="180"/>
        <w:rPr>
          <w:rFonts w:ascii="Times" w:eastAsia="宋体" w:hAnsi="Times"/>
          <w:lang w:val="en-GB" w:eastAsia="zh-CN"/>
        </w:rPr>
      </w:pPr>
      <w:r w:rsidRPr="0002046F">
        <w:rPr>
          <w:rFonts w:eastAsia="宋体"/>
          <w:lang w:val="en-GB" w:eastAsia="zh-CN"/>
        </w:rPr>
        <w:t xml:space="preserve">Basically, the most important issue of tone reservation is how to generate the compensation signal c for data signal x. c is the time-domain signal of </w:t>
      </w:r>
      <w:r w:rsidRPr="0002046F">
        <w:rPr>
          <w:rFonts w:eastAsia="宋体"/>
          <w:b/>
          <w:lang w:val="en-GB" w:eastAsia="zh-CN"/>
        </w:rPr>
        <w:t>C</w:t>
      </w:r>
      <w:r w:rsidRPr="0002046F">
        <w:rPr>
          <w:rFonts w:eastAsia="宋体"/>
          <w:lang w:val="en-GB" w:eastAsia="zh-CN"/>
        </w:rPr>
        <w:t xml:space="preserve"> = [C</w:t>
      </w:r>
      <w:r w:rsidRPr="0002046F">
        <w:rPr>
          <w:rFonts w:eastAsia="宋体"/>
          <w:vertAlign w:val="subscript"/>
          <w:lang w:val="en-GB" w:eastAsia="zh-CN"/>
        </w:rPr>
        <w:t>0</w:t>
      </w:r>
      <w:r w:rsidRPr="0002046F">
        <w:rPr>
          <w:rFonts w:eastAsia="宋体"/>
          <w:lang w:val="en-GB" w:eastAsia="zh-CN"/>
        </w:rPr>
        <w:t>, …, C</w:t>
      </w:r>
      <w:r w:rsidRPr="0002046F">
        <w:rPr>
          <w:rFonts w:eastAsia="宋体"/>
          <w:vertAlign w:val="subscript"/>
          <w:lang w:val="en-GB" w:eastAsia="zh-CN"/>
        </w:rPr>
        <w:t>T</w:t>
      </w:r>
      <w:r w:rsidRPr="0002046F">
        <w:rPr>
          <w:rFonts w:eastAsia="宋体"/>
          <w:lang w:val="en-GB" w:eastAsia="zh-CN"/>
        </w:rPr>
        <w:t xml:space="preserve">], x is the time-domain signal of </w:t>
      </w:r>
      <w:r w:rsidRPr="0002046F">
        <w:rPr>
          <w:rFonts w:eastAsia="宋体"/>
          <w:b/>
          <w:lang w:val="en-GB" w:eastAsia="zh-CN"/>
        </w:rPr>
        <w:t>X</w:t>
      </w:r>
      <w:r w:rsidRPr="0002046F">
        <w:rPr>
          <w:rFonts w:eastAsia="宋体"/>
          <w:lang w:val="en-GB" w:eastAsia="zh-CN"/>
        </w:rPr>
        <w:t xml:space="preserve"> = [X</w:t>
      </w:r>
      <w:r w:rsidRPr="0002046F">
        <w:rPr>
          <w:rFonts w:eastAsia="宋体"/>
          <w:vertAlign w:val="subscript"/>
          <w:lang w:val="en-GB" w:eastAsia="zh-CN"/>
        </w:rPr>
        <w:t>0</w:t>
      </w:r>
      <w:r w:rsidRPr="0002046F">
        <w:rPr>
          <w:rFonts w:eastAsia="宋体"/>
          <w:lang w:val="en-GB" w:eastAsia="zh-CN"/>
        </w:rPr>
        <w:t>, …, X</w:t>
      </w:r>
      <w:r w:rsidRPr="0002046F">
        <w:rPr>
          <w:rFonts w:eastAsia="宋体"/>
          <w:vertAlign w:val="subscript"/>
          <w:lang w:val="en-GB" w:eastAsia="zh-CN"/>
        </w:rPr>
        <w:t>N</w:t>
      </w:r>
      <w:r w:rsidRPr="0002046F">
        <w:rPr>
          <w:rFonts w:eastAsia="宋体"/>
          <w:lang w:val="en-GB" w:eastAsia="zh-CN"/>
        </w:rPr>
        <w:t xml:space="preserve">]. According to [5], </w:t>
      </w:r>
      <w:r w:rsidRPr="0002046F">
        <w:rPr>
          <w:rFonts w:eastAsia="MS Mincho"/>
          <w:lang w:val="en-GB" w:eastAsia="zh-CN"/>
        </w:rPr>
        <w:t>t</w:t>
      </w:r>
      <w:r w:rsidRPr="0002046F">
        <w:rPr>
          <w:rFonts w:eastAsia="MS Mincho" w:hint="eastAsia"/>
          <w:lang w:val="en-GB" w:eastAsia="zh-CN"/>
        </w:rPr>
        <w:t>he main principle is</w:t>
      </w:r>
      <w:r w:rsidRPr="0002046F">
        <w:rPr>
          <w:rFonts w:eastAsia="MS Mincho"/>
          <w:lang w:val="en-GB" w:eastAsia="zh-CN"/>
        </w:rPr>
        <w:t xml:space="preserve"> to find a signal c</w:t>
      </w:r>
      <w:r w:rsidRPr="0002046F">
        <w:rPr>
          <w:rFonts w:eastAsia="MS Mincho"/>
          <w:lang w:val="en-GB"/>
        </w:rPr>
        <w:t xml:space="preserve"> </w:t>
      </w:r>
      <w:r w:rsidRPr="0002046F">
        <w:rPr>
          <w:rFonts w:eastAsia="MS Mincho" w:hint="eastAsia"/>
          <w:lang w:val="en-GB" w:eastAsia="zh-CN"/>
        </w:rPr>
        <w:t>in time domain is</w:t>
      </w:r>
      <w:r w:rsidRPr="0002046F">
        <w:rPr>
          <w:rFonts w:eastAsia="MS Mincho"/>
          <w:lang w:val="en-GB"/>
        </w:rPr>
        <w:t xml:space="preserve"> as close as possible to the ideal impulse</w:t>
      </w:r>
      <w:r w:rsidRPr="0002046F">
        <w:rPr>
          <w:rFonts w:eastAsia="MS Mincho" w:hint="eastAsia"/>
          <w:lang w:val="en-GB" w:eastAsia="zh-CN"/>
        </w:rPr>
        <w:t xml:space="preserve">. </w:t>
      </w:r>
      <w:r w:rsidRPr="0002046F">
        <w:rPr>
          <w:rFonts w:eastAsia="宋体"/>
          <w:lang w:val="en-GB" w:eastAsia="zh-CN"/>
        </w:rPr>
        <w:t xml:space="preserve">The TR iterative algorithm is try to find the </w:t>
      </w:r>
      <w:r w:rsidRPr="0002046F">
        <w:rPr>
          <w:rFonts w:ascii="Times" w:eastAsia="MS Mincho" w:hAnsi="Times"/>
          <w:lang w:val="en-GB"/>
        </w:rPr>
        <w:t xml:space="preserve">optimum code value C, so that </w:t>
      </w:r>
      <m:oMath>
        <m:func>
          <m:funcPr>
            <m:ctrlPr>
              <w:rPr>
                <w:rFonts w:ascii="Cambria Math" w:eastAsia="宋体" w:hAnsi="Cambria Math"/>
                <w:lang w:val="en-GB" w:eastAsia="zh-CN"/>
              </w:rPr>
            </m:ctrlPr>
          </m:funcPr>
          <m:fName>
            <m:limLow>
              <m:limLowPr>
                <m:ctrlPr>
                  <w:rPr>
                    <w:rFonts w:ascii="Cambria Math" w:eastAsia="宋体" w:hAnsi="Cambria Math"/>
                    <w:lang w:val="en-GB" w:eastAsia="zh-CN"/>
                  </w:rPr>
                </m:ctrlPr>
              </m:limLowPr>
              <m:e>
                <m:r>
                  <m:rPr>
                    <m:sty m:val="p"/>
                  </m:rPr>
                  <w:rPr>
                    <w:rFonts w:ascii="Cambria Math" w:eastAsia="宋体" w:hAnsi="Cambria Math"/>
                    <w:lang w:val="en-GB"/>
                  </w:rPr>
                  <m:t>min</m:t>
                </m:r>
              </m:e>
              <m:lim>
                <m:r>
                  <w:rPr>
                    <w:rFonts w:ascii="Cambria Math" w:eastAsia="宋体" w:hAnsi="Cambria Math"/>
                    <w:lang w:val="en-GB" w:eastAsia="zh-CN"/>
                  </w:rPr>
                  <m:t>C</m:t>
                </m:r>
              </m:lim>
            </m:limLow>
          </m:fName>
          <m:e>
            <m:sSub>
              <m:sSubPr>
                <m:ctrlPr>
                  <w:rPr>
                    <w:rFonts w:ascii="Cambria Math" w:eastAsia="宋体" w:hAnsi="Cambria Math"/>
                    <w:i/>
                    <w:lang w:val="en-GB" w:eastAsia="zh-CN"/>
                  </w:rPr>
                </m:ctrlPr>
              </m:sSubPr>
              <m:e>
                <m:d>
                  <m:dPr>
                    <m:begChr m:val="‖"/>
                    <m:endChr m:val="‖"/>
                    <m:ctrlPr>
                      <w:rPr>
                        <w:rFonts w:ascii="Cambria Math" w:eastAsia="宋体" w:hAnsi="Cambria Math"/>
                        <w:i/>
                        <w:lang w:val="en-GB" w:eastAsia="zh-CN"/>
                      </w:rPr>
                    </m:ctrlPr>
                  </m:dPr>
                  <m:e>
                    <m:r>
                      <w:rPr>
                        <w:rFonts w:ascii="Cambria Math" w:eastAsia="宋体" w:hAnsi="Cambria Math"/>
                        <w:lang w:val="en-GB" w:eastAsia="zh-CN"/>
                      </w:rPr>
                      <m:t>X+C</m:t>
                    </m:r>
                  </m:e>
                </m:d>
              </m:e>
              <m:sub>
                <m:r>
                  <w:rPr>
                    <w:rFonts w:ascii="Cambria Math" w:eastAsia="宋体" w:hAnsi="Cambria Math"/>
                    <w:lang w:val="en-GB" w:eastAsia="zh-CN"/>
                  </w:rPr>
                  <m:t>∞</m:t>
                </m:r>
              </m:sub>
            </m:sSub>
            <m:r>
              <w:rPr>
                <w:rFonts w:ascii="Cambria Math" w:eastAsia="宋体" w:hAnsi="Cambria Math"/>
                <w:lang w:val="en-GB" w:eastAsia="zh-CN"/>
              </w:rPr>
              <m:t>&lt;</m:t>
            </m:r>
            <m:sSub>
              <m:sSubPr>
                <m:ctrlPr>
                  <w:rPr>
                    <w:rFonts w:ascii="Cambria Math" w:eastAsia="宋体" w:hAnsi="Cambria Math"/>
                    <w:i/>
                    <w:lang w:val="en-GB" w:eastAsia="zh-CN"/>
                  </w:rPr>
                </m:ctrlPr>
              </m:sSubPr>
              <m:e>
                <m:d>
                  <m:dPr>
                    <m:begChr m:val="‖"/>
                    <m:endChr m:val="‖"/>
                    <m:ctrlPr>
                      <w:rPr>
                        <w:rFonts w:ascii="Cambria Math" w:eastAsia="宋体" w:hAnsi="Cambria Math"/>
                        <w:i/>
                        <w:lang w:val="en-GB" w:eastAsia="zh-CN"/>
                      </w:rPr>
                    </m:ctrlPr>
                  </m:dPr>
                  <m:e>
                    <m:r>
                      <w:rPr>
                        <w:rFonts w:ascii="Cambria Math" w:eastAsia="宋体" w:hAnsi="Cambria Math"/>
                        <w:lang w:val="en-GB" w:eastAsia="zh-CN"/>
                      </w:rPr>
                      <m:t>X</m:t>
                    </m:r>
                  </m:e>
                </m:d>
              </m:e>
              <m:sub>
                <m:r>
                  <w:rPr>
                    <w:rFonts w:ascii="Cambria Math" w:eastAsia="宋体" w:hAnsi="Cambria Math"/>
                    <w:lang w:val="en-GB" w:eastAsia="zh-CN"/>
                  </w:rPr>
                  <m:t>∞</m:t>
                </m:r>
              </m:sub>
            </m:sSub>
          </m:e>
        </m:func>
      </m:oMath>
      <w:r w:rsidRPr="0002046F">
        <w:rPr>
          <w:rFonts w:ascii="Times" w:eastAsia="宋体" w:hAnsi="Times" w:hint="eastAsia"/>
          <w:lang w:val="en-GB" w:eastAsia="zh-CN"/>
        </w:rPr>
        <w:t>.</w:t>
      </w:r>
      <w:r w:rsidRPr="0002046F">
        <w:rPr>
          <w:rFonts w:ascii="Times" w:eastAsia="宋体" w:hAnsi="Times"/>
          <w:lang w:val="en-GB" w:eastAsia="zh-CN"/>
        </w:rPr>
        <w:t xml:space="preserve"> Besides, the steps in offline computation and online iterations should be divided into steps, to give clear pictures that which part can be up to UE and which part should be defined in the specification and tested.   </w:t>
      </w:r>
    </w:p>
    <w:p w14:paraId="3F873FA5" w14:textId="77777777" w:rsidR="0002046F" w:rsidRPr="0002046F" w:rsidRDefault="0002046F" w:rsidP="0002046F">
      <w:pPr>
        <w:autoSpaceDE/>
        <w:autoSpaceDN/>
        <w:adjustRightInd/>
        <w:snapToGrid/>
        <w:spacing w:after="180"/>
        <w:rPr>
          <w:rFonts w:eastAsia="宋体"/>
          <w:lang w:val="en-GB" w:eastAsia="zh-CN"/>
        </w:rPr>
      </w:pPr>
      <w:r w:rsidRPr="0002046F">
        <w:rPr>
          <w:rFonts w:eastAsia="宋体"/>
          <w:lang w:val="en-GB" w:eastAsia="zh-CN"/>
        </w:rPr>
        <w:t>Therefore, in order to study tone reservation, we have the following observations:</w:t>
      </w:r>
    </w:p>
    <w:p w14:paraId="42A176B5" w14:textId="77777777" w:rsidR="0002046F" w:rsidRPr="0002046F" w:rsidRDefault="0002046F" w:rsidP="0002046F">
      <w:pPr>
        <w:autoSpaceDE/>
        <w:autoSpaceDN/>
        <w:adjustRightInd/>
        <w:snapToGrid/>
        <w:spacing w:after="180"/>
        <w:rPr>
          <w:rFonts w:eastAsia="宋体"/>
          <w:b/>
          <w:i/>
          <w:lang w:val="en-GB" w:eastAsia="zh-CN"/>
        </w:rPr>
      </w:pPr>
      <w:r w:rsidRPr="0002046F">
        <w:rPr>
          <w:rFonts w:eastAsia="宋体"/>
          <w:b/>
          <w:i/>
          <w:lang w:val="en-GB" w:eastAsia="zh-CN"/>
        </w:rPr>
        <w:t>Observation 5. The most important issue of tone reservation is how to generate the compensation signal c for data signal x, the complexity and flexibility should be identified first for the iteration steps.</w:t>
      </w:r>
    </w:p>
    <w:p w14:paraId="4C97D8B5" w14:textId="4BA38191" w:rsidR="0002046F" w:rsidRDefault="0002046F" w:rsidP="0002046F">
      <w:pPr>
        <w:rPr>
          <w:lang w:val="en-GB" w:eastAsia="zh-CN"/>
        </w:rPr>
      </w:pPr>
    </w:p>
    <w:p w14:paraId="5AAE8645" w14:textId="328A73E0" w:rsidR="0002046F" w:rsidRDefault="0002046F" w:rsidP="0002046F">
      <w:pPr>
        <w:pStyle w:val="2"/>
      </w:pPr>
      <w:r w:rsidRPr="0002046F">
        <w:t>Enhancements for increasing UE power high limit for CA and DC</w:t>
      </w:r>
    </w:p>
    <w:p w14:paraId="5D332F5E" w14:textId="77777777" w:rsidR="0002046F" w:rsidRPr="0002046F" w:rsidRDefault="0002046F" w:rsidP="0002046F">
      <w:pPr>
        <w:autoSpaceDE/>
        <w:autoSpaceDN/>
        <w:adjustRightInd/>
        <w:snapToGrid/>
        <w:spacing w:after="180"/>
        <w:jc w:val="left"/>
        <w:rPr>
          <w:rFonts w:eastAsia="宋体"/>
          <w:lang w:val="en-GB" w:eastAsia="zh-CN"/>
        </w:rPr>
      </w:pPr>
      <w:r w:rsidRPr="0002046F">
        <w:rPr>
          <w:rFonts w:eastAsia="宋体"/>
          <w:lang w:val="en-GB" w:eastAsia="zh-CN"/>
        </w:rPr>
        <w:t xml:space="preserve">According to enhancements to information exchange between UE and gNB to facilitate higher power transmissions in CA and DC, the following agreement was agreed for further study. </w:t>
      </w:r>
    </w:p>
    <w:tbl>
      <w:tblPr>
        <w:tblStyle w:val="TableGrid4"/>
        <w:tblW w:w="0" w:type="auto"/>
        <w:tblLook w:val="04A0" w:firstRow="1" w:lastRow="0" w:firstColumn="1" w:lastColumn="0" w:noHBand="0" w:noVBand="1"/>
      </w:tblPr>
      <w:tblGrid>
        <w:gridCol w:w="9307"/>
      </w:tblGrid>
      <w:tr w:rsidR="0002046F" w:rsidRPr="0002046F" w14:paraId="172F90C2" w14:textId="77777777" w:rsidTr="0075718E">
        <w:tc>
          <w:tcPr>
            <w:tcW w:w="9630" w:type="dxa"/>
          </w:tcPr>
          <w:p w14:paraId="0FAD1FD7" w14:textId="77777777" w:rsidR="0002046F" w:rsidRPr="0002046F" w:rsidRDefault="0002046F" w:rsidP="0002046F">
            <w:pPr>
              <w:autoSpaceDE/>
              <w:autoSpaceDN/>
              <w:adjustRightInd/>
              <w:snapToGrid/>
              <w:spacing w:after="0"/>
              <w:rPr>
                <w:rFonts w:ascii="Times" w:eastAsia="Batang" w:hAnsi="Times"/>
                <w:b/>
                <w:bCs/>
                <w:highlight w:val="green"/>
              </w:rPr>
            </w:pPr>
            <w:r w:rsidRPr="0002046F">
              <w:rPr>
                <w:rFonts w:ascii="Times" w:eastAsia="Batang" w:hAnsi="Times"/>
                <w:b/>
                <w:bCs/>
                <w:highlight w:val="green"/>
              </w:rPr>
              <w:t>Agreement</w:t>
            </w:r>
          </w:p>
          <w:p w14:paraId="7FAB23CA" w14:textId="77777777" w:rsidR="0002046F" w:rsidRPr="0002046F" w:rsidRDefault="0002046F" w:rsidP="0002046F">
            <w:pPr>
              <w:autoSpaceDE/>
              <w:autoSpaceDN/>
              <w:adjustRightInd/>
              <w:snapToGrid/>
              <w:spacing w:after="0"/>
              <w:rPr>
                <w:rFonts w:ascii="Times" w:eastAsia="Batang" w:hAnsi="Times"/>
              </w:rPr>
            </w:pPr>
            <w:r w:rsidRPr="0002046F">
              <w:rPr>
                <w:rFonts w:ascii="Times" w:eastAsia="Batang" w:hAnsi="Time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6388EE6C" w14:textId="77777777" w:rsidR="0002046F" w:rsidRPr="0002046F" w:rsidRDefault="0002046F" w:rsidP="00283F57">
            <w:pPr>
              <w:numPr>
                <w:ilvl w:val="1"/>
                <w:numId w:val="17"/>
              </w:numPr>
              <w:autoSpaceDE/>
              <w:autoSpaceDN/>
              <w:adjustRightInd/>
              <w:snapToGrid/>
              <w:spacing w:before="120" w:after="180"/>
              <w:contextualSpacing/>
              <w:jc w:val="left"/>
              <w:rPr>
                <w:rFonts w:ascii="Times" w:eastAsia="Batang" w:hAnsi="Times"/>
                <w:lang w:eastAsia="x-none"/>
              </w:rPr>
            </w:pPr>
            <w:r w:rsidRPr="0002046F">
              <w:rPr>
                <w:rFonts w:ascii="Times" w:eastAsia="Batang" w:hAnsi="Times"/>
                <w:lang w:eastAsia="x-none"/>
              </w:rPr>
              <w:lastRenderedPageBreak/>
              <w:t>FFS: details.</w:t>
            </w:r>
          </w:p>
        </w:tc>
      </w:tr>
    </w:tbl>
    <w:p w14:paraId="16D12F0E" w14:textId="77777777" w:rsidR="0002046F" w:rsidRPr="0002046F" w:rsidRDefault="0002046F" w:rsidP="0002046F">
      <w:pPr>
        <w:autoSpaceDE/>
        <w:autoSpaceDN/>
        <w:adjustRightInd/>
        <w:snapToGrid/>
        <w:spacing w:after="180"/>
        <w:jc w:val="left"/>
        <w:rPr>
          <w:rFonts w:eastAsia="MS Mincho"/>
          <w:sz w:val="20"/>
          <w:szCs w:val="20"/>
          <w:lang w:val="en-GB" w:eastAsia="ja-JP"/>
        </w:rPr>
      </w:pPr>
    </w:p>
    <w:p w14:paraId="7206F7FC" w14:textId="77777777" w:rsidR="0002046F" w:rsidRPr="0002046F" w:rsidRDefault="0002046F" w:rsidP="0002046F">
      <w:pPr>
        <w:autoSpaceDE/>
        <w:autoSpaceDN/>
        <w:adjustRightInd/>
        <w:snapToGrid/>
        <w:spacing w:after="180"/>
        <w:rPr>
          <w:rFonts w:eastAsia="宋体"/>
          <w:lang w:val="en-GB" w:eastAsia="zh-CN"/>
        </w:rPr>
      </w:pPr>
      <w:r w:rsidRPr="0002046F">
        <w:rPr>
          <w:rFonts w:eastAsia="宋体" w:hint="eastAsia"/>
          <w:lang w:val="en-GB" w:eastAsia="zh-CN"/>
        </w:rPr>
        <w:t xml:space="preserve">The UE </w:t>
      </w:r>
      <w:r w:rsidRPr="0002046F">
        <w:rPr>
          <w:rFonts w:eastAsia="宋体"/>
          <w:lang w:val="en-GB" w:eastAsia="zh-CN"/>
        </w:rPr>
        <w:t>transmission</w:t>
      </w:r>
      <w:r w:rsidRPr="0002046F">
        <w:rPr>
          <w:rFonts w:eastAsia="宋体" w:hint="eastAsia"/>
          <w:lang w:val="en-GB" w:eastAsia="zh-CN"/>
        </w:rPr>
        <w:t xml:space="preserve"> power is set between 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hint="eastAsia"/>
          <w:vertAlign w:val="subscript"/>
          <w:lang w:val="en-GB" w:eastAsia="zh-CN"/>
        </w:rPr>
        <w:t xml:space="preserve"> </w:t>
      </w:r>
      <w:r w:rsidRPr="0002046F">
        <w:rPr>
          <w:rFonts w:eastAsia="宋体" w:hint="eastAsia"/>
          <w:lang w:val="en-GB" w:eastAsia="zh-CN"/>
        </w:rPr>
        <w:t>as defined in 38.101, the power class for CA will have impact to both 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hint="eastAsia"/>
          <w:vertAlign w:val="subscript"/>
          <w:lang w:val="en-GB" w:eastAsia="zh-CN"/>
        </w:rPr>
        <w:t>.</w:t>
      </w:r>
      <w:r w:rsidRPr="0002046F">
        <w:rPr>
          <w:rFonts w:eastAsia="宋体"/>
          <w:vertAlign w:val="subscript"/>
          <w:lang w:val="en-GB" w:eastAsia="zh-CN"/>
        </w:rPr>
        <w:t xml:space="preserve">   </w:t>
      </w:r>
      <w:r w:rsidRPr="0002046F">
        <w:rPr>
          <w:rFonts w:eastAsia="MS Mincho"/>
          <w:lang w:val="en-GB" w:eastAsia="ja-JP"/>
        </w:rPr>
        <w:t xml:space="preserve">In R17, </w:t>
      </w:r>
      <w:r w:rsidRPr="0002046F">
        <w:rPr>
          <w:rFonts w:eastAsia="宋体"/>
          <w:lang w:val="en-GB" w:eastAsia="zh-CN" w:bidi="bn-IN"/>
        </w:rPr>
        <w:t xml:space="preserve">if the UE indicates HigherPowerLimitCADC capability for an eligible CA configuration and </w:t>
      </w:r>
      <w:r w:rsidRPr="0002046F">
        <w:rPr>
          <w:rFonts w:eastAsia="MS Mincho"/>
          <w:lang w:val="en-GB" w:eastAsia="zh-CN"/>
        </w:rPr>
        <w:t>ΔP</w:t>
      </w:r>
      <w:r w:rsidRPr="0002046F">
        <w:rPr>
          <w:rFonts w:eastAsia="MS Mincho"/>
          <w:vertAlign w:val="subscript"/>
          <w:lang w:val="en-GB" w:eastAsia="zh-CN"/>
        </w:rPr>
        <w:t>PowerClass, CA</w:t>
      </w:r>
      <w:r w:rsidRPr="0002046F">
        <w:rPr>
          <w:rFonts w:eastAsia="MS Mincho"/>
          <w:lang w:val="en-GB" w:eastAsia="zh-CN"/>
        </w:rPr>
        <w:t xml:space="preserve"> = 0, </w:t>
      </w:r>
      <w:r w:rsidRPr="0002046F">
        <w:rPr>
          <w:rFonts w:eastAsia="MS Mincho"/>
          <w:lang w:val="en-GB" w:bidi="bn-IN"/>
        </w:rPr>
        <w:t>P</w:t>
      </w:r>
      <w:r w:rsidRPr="0002046F">
        <w:rPr>
          <w:rFonts w:eastAsia="MS Mincho"/>
          <w:vertAlign w:val="subscript"/>
          <w:lang w:val="en-GB" w:bidi="bn-IN"/>
        </w:rPr>
        <w:t>PowerClass,CA</w:t>
      </w:r>
      <w:r w:rsidRPr="0002046F">
        <w:rPr>
          <w:rFonts w:eastAsia="MS Mincho"/>
          <w:lang w:val="en-GB" w:bidi="bn-IN"/>
        </w:rPr>
        <w:t xml:space="preserve"> is replaced by 10 log</w:t>
      </w:r>
      <w:r w:rsidRPr="0002046F">
        <w:rPr>
          <w:rFonts w:eastAsia="MS Mincho"/>
          <w:vertAlign w:val="subscript"/>
          <w:lang w:val="en-GB" w:bidi="bn-IN"/>
        </w:rPr>
        <w:t>10</w:t>
      </w:r>
      <w:r w:rsidRPr="0002046F">
        <w:rPr>
          <w:rFonts w:eastAsia="MS Mincho"/>
          <w:lang w:val="en-GB" w:bidi="bn-IN"/>
        </w:rPr>
        <w:t xml:space="preserve"> </w:t>
      </w:r>
      <w:r w:rsidRPr="0002046F">
        <w:rPr>
          <w:rFonts w:eastAsia="MS Mincho"/>
          <w:lang w:val="en-GB"/>
        </w:rPr>
        <w:t>∑ p</w:t>
      </w:r>
      <w:r w:rsidRPr="0002046F">
        <w:rPr>
          <w:rFonts w:eastAsia="MS Mincho"/>
          <w:vertAlign w:val="subscript"/>
          <w:lang w:val="en-GB"/>
        </w:rPr>
        <w:t xml:space="preserve">PowerClass,c, </w:t>
      </w:r>
      <w:r w:rsidRPr="0002046F">
        <w:rPr>
          <w:rFonts w:eastAsia="MS Mincho"/>
          <w:lang w:val="en-GB" w:eastAsia="ja-JP"/>
        </w:rPr>
        <w:t xml:space="preserve"> i.e., with sum of the maximum UE power values for the aggregated bands both in </w:t>
      </w:r>
      <w:r w:rsidRPr="0002046F">
        <w:rPr>
          <w:rFonts w:eastAsia="宋体" w:hint="eastAsia"/>
          <w:lang w:val="en-GB" w:eastAsia="zh-CN"/>
        </w:rPr>
        <w:t>P</w:t>
      </w:r>
      <w:r w:rsidRPr="0002046F">
        <w:rPr>
          <w:rFonts w:eastAsia="MS Mincho"/>
          <w:vertAlign w:val="subscript"/>
          <w:lang w:val="en-GB"/>
        </w:rPr>
        <w:t>CMAX_</w:t>
      </w:r>
      <w:r w:rsidRPr="0002046F">
        <w:rPr>
          <w:rFonts w:eastAsia="宋体" w:hint="eastAsia"/>
          <w:vertAlign w:val="subscript"/>
          <w:lang w:val="en-GB" w:eastAsia="zh-CN"/>
        </w:rPr>
        <w:t xml:space="preserve">L </w:t>
      </w:r>
      <w:r w:rsidRPr="0002046F">
        <w:rPr>
          <w:rFonts w:eastAsia="宋体" w:hint="eastAsia"/>
          <w:lang w:val="en-GB" w:eastAsia="zh-CN" w:bidi="bn-IN"/>
        </w:rPr>
        <w:t xml:space="preserve">and </w:t>
      </w:r>
      <w:r w:rsidRPr="0002046F">
        <w:rPr>
          <w:rFonts w:eastAsia="MS Mincho"/>
          <w:lang w:val="en-GB" w:bidi="bn-IN"/>
        </w:rPr>
        <w:t>P</w:t>
      </w:r>
      <w:r w:rsidRPr="0002046F">
        <w:rPr>
          <w:rFonts w:eastAsia="MS Mincho"/>
          <w:vertAlign w:val="subscript"/>
          <w:lang w:val="en-GB"/>
        </w:rPr>
        <w:t>CMAX_H</w:t>
      </w:r>
      <w:r w:rsidRPr="0002046F">
        <w:rPr>
          <w:rFonts w:eastAsia="宋体"/>
          <w:lang w:val="en-GB" w:eastAsia="zh-CN" w:bidi="bn-IN"/>
        </w:rPr>
        <w:t xml:space="preserve">[6]. </w:t>
      </w:r>
    </w:p>
    <w:p w14:paraId="10647ED4" w14:textId="77777777" w:rsidR="0002046F" w:rsidRPr="0002046F" w:rsidRDefault="0002046F" w:rsidP="0002046F">
      <w:pPr>
        <w:autoSpaceDE/>
        <w:autoSpaceDN/>
        <w:adjustRightInd/>
        <w:snapToGrid/>
        <w:spacing w:after="180"/>
        <w:rPr>
          <w:rFonts w:eastAsia="宋体"/>
          <w:lang w:val="en-GB" w:eastAsia="zh-CN"/>
        </w:rPr>
      </w:pPr>
      <w:r w:rsidRPr="0002046F">
        <w:rPr>
          <w:rFonts w:eastAsia="MS Mincho"/>
          <w:lang w:val="en-GB" w:eastAsia="zh-CN"/>
        </w:rPr>
        <w:t>However, when the requirements of default power class are applied as specified in sub-clause 6.2.A.1</w:t>
      </w:r>
      <w:r w:rsidRPr="0002046F">
        <w:rPr>
          <w:rFonts w:eastAsia="MS Mincho" w:hint="eastAsia"/>
          <w:lang w:val="en-GB" w:eastAsia="zh-CN"/>
        </w:rPr>
        <w:t>.</w:t>
      </w:r>
      <w:r w:rsidRPr="0002046F">
        <w:rPr>
          <w:rFonts w:eastAsia="MS Mincho"/>
          <w:lang w:val="en-GB" w:eastAsia="zh-CN"/>
        </w:rPr>
        <w:t xml:space="preserve">3 of </w:t>
      </w:r>
      <w:r w:rsidRPr="0002046F">
        <w:rPr>
          <w:rFonts w:eastAsia="宋体" w:hint="eastAsia"/>
          <w:lang w:val="en-GB" w:eastAsia="zh-CN"/>
        </w:rPr>
        <w:t>38.101</w:t>
      </w:r>
      <w:r w:rsidRPr="0002046F">
        <w:rPr>
          <w:rFonts w:eastAsia="宋体"/>
          <w:lang w:val="en-GB" w:eastAsia="zh-CN"/>
        </w:rPr>
        <w:t xml:space="preserve">, </w:t>
      </w:r>
      <w:r w:rsidRPr="0002046F">
        <w:rPr>
          <w:rFonts w:eastAsia="MS Mincho"/>
          <w:lang w:val="en-GB" w:eastAsia="zh-CN"/>
        </w:rPr>
        <w:t>ΔP</w:t>
      </w:r>
      <w:r w:rsidRPr="0002046F">
        <w:rPr>
          <w:rFonts w:eastAsia="MS Mincho"/>
          <w:vertAlign w:val="subscript"/>
          <w:lang w:val="en-GB" w:eastAsia="zh-CN"/>
        </w:rPr>
        <w:t>PowerClass,CA</w:t>
      </w:r>
      <w:r w:rsidRPr="0002046F">
        <w:rPr>
          <w:rFonts w:eastAsia="MS Mincho"/>
          <w:lang w:val="en-GB" w:eastAsia="zh-CN"/>
        </w:rPr>
        <w:t xml:space="preserve"> = 3 dB for a power class 2 capable UE</w:t>
      </w:r>
      <w:r w:rsidRPr="0002046F">
        <w:rPr>
          <w:rFonts w:eastAsia="宋体"/>
          <w:lang w:val="en-GB" w:eastAsia="zh-CN"/>
        </w:rPr>
        <w:t>, which may  lowe</w:t>
      </w:r>
      <w:r w:rsidRPr="0002046F">
        <w:rPr>
          <w:rFonts w:eastAsia="MS Mincho"/>
          <w:lang w:val="en-GB" w:eastAsia="zh-CN"/>
        </w:rPr>
        <w:t xml:space="preserve">r the maximum output power for inter-band CA and </w:t>
      </w:r>
      <w:r w:rsidRPr="0002046F">
        <w:rPr>
          <w:rFonts w:ascii="Times" w:eastAsia="Batang" w:hAnsi="Times"/>
        </w:rPr>
        <w:t>higher power transmissions in CA cannot be realized</w:t>
      </w:r>
      <w:r w:rsidRPr="0002046F">
        <w:rPr>
          <w:rFonts w:eastAsia="MS Mincho"/>
          <w:lang w:val="en-GB" w:eastAsia="zh-CN"/>
        </w:rPr>
        <w:t>.</w:t>
      </w:r>
      <w:r w:rsidRPr="0002046F">
        <w:rPr>
          <w:rFonts w:eastAsia="宋体" w:hint="eastAsia"/>
          <w:lang w:val="en-GB" w:eastAsia="zh-CN"/>
        </w:rPr>
        <w:t xml:space="preserve"> </w:t>
      </w:r>
      <w:r w:rsidRPr="0002046F">
        <w:rPr>
          <w:rFonts w:eastAsia="MS Mincho"/>
          <w:lang w:val="en-GB" w:eastAsia="ja-JP"/>
        </w:rPr>
        <w:t>Based on s</w:t>
      </w:r>
      <w:r w:rsidRPr="0002046F">
        <w:rPr>
          <w:rFonts w:eastAsia="MS Mincho"/>
          <w:lang w:val="en-GB" w:eastAsia="zh-CN"/>
        </w:rPr>
        <w:t>ub-clause 6.2.A.1</w:t>
      </w:r>
      <w:r w:rsidRPr="0002046F">
        <w:rPr>
          <w:rFonts w:eastAsia="MS Mincho" w:hint="eastAsia"/>
          <w:lang w:val="en-GB" w:eastAsia="zh-CN"/>
        </w:rPr>
        <w:t>.</w:t>
      </w:r>
      <w:r w:rsidRPr="0002046F">
        <w:rPr>
          <w:rFonts w:eastAsia="MS Mincho"/>
          <w:lang w:val="en-GB" w:eastAsia="zh-CN"/>
        </w:rPr>
        <w:t xml:space="preserve">3 of </w:t>
      </w:r>
      <w:r w:rsidRPr="0002046F">
        <w:rPr>
          <w:rFonts w:eastAsia="宋体" w:hint="eastAsia"/>
          <w:lang w:val="en-GB" w:eastAsia="zh-CN"/>
        </w:rPr>
        <w:t>38.101</w:t>
      </w:r>
      <w:r w:rsidRPr="0002046F">
        <w:rPr>
          <w:rFonts w:eastAsia="宋体"/>
          <w:lang w:val="en-GB" w:eastAsia="zh-CN"/>
        </w:rPr>
        <w:t xml:space="preserve">, </w:t>
      </w:r>
      <w:r w:rsidRPr="0002046F">
        <w:rPr>
          <w:rFonts w:eastAsia="MS Mincho"/>
          <w:lang w:val="en-GB" w:eastAsia="ja-JP"/>
        </w:rPr>
        <w:t xml:space="preserve">whether to apply the requirements for the default </w:t>
      </w:r>
      <w:r w:rsidRPr="0002046F">
        <w:rPr>
          <w:rFonts w:eastAsia="MS Mincho"/>
          <w:lang w:val="en-GB" w:eastAsia="zh-CN"/>
        </w:rPr>
        <w:t>power class</w:t>
      </w:r>
      <w:r w:rsidRPr="0002046F">
        <w:rPr>
          <w:rFonts w:eastAsia="MS Mincho"/>
          <w:lang w:val="en-GB" w:eastAsia="ja-JP"/>
        </w:rPr>
        <w:t xml:space="preserve"> or the higher </w:t>
      </w:r>
      <w:r w:rsidRPr="0002046F">
        <w:rPr>
          <w:rFonts w:eastAsia="MS Mincho"/>
          <w:lang w:val="en-GB" w:eastAsia="zh-CN"/>
        </w:rPr>
        <w:t>power class</w:t>
      </w:r>
      <w:r w:rsidRPr="0002046F">
        <w:rPr>
          <w:rFonts w:eastAsia="MS Mincho"/>
          <w:lang w:val="en-GB" w:eastAsia="ja-JP"/>
        </w:rPr>
        <w:t xml:space="preserve"> seems depend on “the average percentage of uplink symbols transmitted in a certain evaluation period”.  For example, if </w:t>
      </w:r>
      <w:r w:rsidRPr="0002046F">
        <w:rPr>
          <w:rFonts w:eastAsia="MS Mincho"/>
          <w:lang w:val="en-GB"/>
        </w:rPr>
        <w:t xml:space="preserve">the average percentage of uplink symbols transmitted in a certain evaluation period is larger than maxUplinkDutyCycle-interBandCA-PC2, UE can perform its transmission with the </w:t>
      </w:r>
      <w:r w:rsidRPr="0002046F">
        <w:rPr>
          <w:rFonts w:eastAsia="MS Mincho"/>
          <w:lang w:val="en-GB" w:eastAsia="ja-JP"/>
        </w:rPr>
        <w:t>default</w:t>
      </w:r>
      <w:r w:rsidRPr="0002046F">
        <w:rPr>
          <w:rFonts w:eastAsia="MS Mincho"/>
          <w:lang w:val="en-GB"/>
        </w:rPr>
        <w:t xml:space="preserve"> power class than</w:t>
      </w:r>
      <w:r w:rsidRPr="0002046F">
        <w:rPr>
          <w:rFonts w:eastAsia="MS Mincho"/>
          <w:lang w:val="en-GB" w:eastAsia="ja-JP"/>
        </w:rPr>
        <w:t xml:space="preserve"> that of the higher power class.</w:t>
      </w:r>
      <w:r w:rsidRPr="0002046F">
        <w:rPr>
          <w:rFonts w:eastAsia="MS Mincho" w:hint="eastAsia"/>
          <w:lang w:val="en-GB" w:eastAsia="ja-JP"/>
        </w:rPr>
        <w:t xml:space="preserve"> </w:t>
      </w:r>
      <w:r w:rsidRPr="0002046F">
        <w:rPr>
          <w:rFonts w:eastAsia="MS Mincho"/>
          <w:lang w:val="en-GB" w:eastAsia="ja-JP"/>
        </w:rPr>
        <w:t>The maxUplinkDutyCycle-interBandCA-PC2 indicates the maximum average percentage of symbols during a certain evaluation period that can be scheduled for uplink transmission to ensure SAR requirements.</w:t>
      </w:r>
    </w:p>
    <w:p w14:paraId="7A623D4A" w14:textId="77777777" w:rsidR="0002046F" w:rsidRPr="0002046F" w:rsidRDefault="0002046F" w:rsidP="0002046F">
      <w:pPr>
        <w:autoSpaceDE/>
        <w:autoSpaceDN/>
        <w:adjustRightInd/>
        <w:snapToGrid/>
        <w:spacing w:after="180"/>
        <w:rPr>
          <w:rFonts w:eastAsia="MS Mincho"/>
          <w:lang w:val="en-GB" w:eastAsia="ja-JP"/>
        </w:rPr>
      </w:pPr>
      <w:r w:rsidRPr="0002046F">
        <w:rPr>
          <w:rFonts w:eastAsia="宋体"/>
          <w:lang w:val="en-GB" w:eastAsia="zh-CN"/>
        </w:rPr>
        <w:t>T</w:t>
      </w:r>
      <w:r w:rsidRPr="0002046F">
        <w:rPr>
          <w:rFonts w:eastAsia="MS Mincho"/>
          <w:lang w:val="en-GB" w:eastAsia="ja-JP"/>
        </w:rPr>
        <w:t xml:space="preserve">he starting position and duration of the evaluation period is up to UE implementation. Thus, gNB cannot know the exact power class information and cannot perform suitable feature configuration and proper resource scheduling. If higher </w:t>
      </w:r>
      <w:r w:rsidRPr="0002046F">
        <w:rPr>
          <w:rFonts w:eastAsia="MS Mincho"/>
          <w:lang w:val="en-GB"/>
        </w:rPr>
        <w:t xml:space="preserve">maximum output power can be obtained, it would be better to perform CA/DC transmission to improve the throughput. Otherwise, scheduling uplink transmission only in single carrier may be better. Thus, </w:t>
      </w:r>
      <w:r w:rsidRPr="0002046F">
        <w:rPr>
          <w:rFonts w:eastAsia="MS Mincho"/>
        </w:rPr>
        <w:t xml:space="preserve">we agree with majority that gNB should </w:t>
      </w:r>
      <w:r w:rsidRPr="0002046F">
        <w:rPr>
          <w:rFonts w:eastAsia="Batang"/>
        </w:rPr>
        <w:t xml:space="preserve">awareness of UE’s Tx power </w:t>
      </w:r>
      <w:r w:rsidRPr="0002046F">
        <w:rPr>
          <w:rFonts w:eastAsia="MS Mincho"/>
        </w:rPr>
        <w:t xml:space="preserve">to </w:t>
      </w:r>
      <w:r w:rsidRPr="0002046F">
        <w:rPr>
          <w:rFonts w:ascii="Times" w:eastAsia="Batang" w:hAnsi="Times"/>
        </w:rPr>
        <w:t>facilitate higher power transmissions in CA and DC</w:t>
      </w:r>
      <w:r w:rsidRPr="0002046F">
        <w:rPr>
          <w:rFonts w:eastAsia="MS Mincho"/>
        </w:rPr>
        <w:t xml:space="preserve">. </w:t>
      </w:r>
      <w:r w:rsidRPr="0002046F">
        <w:rPr>
          <w:rFonts w:eastAsia="MS Mincho"/>
          <w:lang w:val="en-GB" w:eastAsia="ja-JP"/>
        </w:rPr>
        <w:t xml:space="preserve"> </w:t>
      </w:r>
    </w:p>
    <w:p w14:paraId="25D63B84" w14:textId="77777777" w:rsidR="0002046F" w:rsidRPr="0002046F" w:rsidRDefault="0002046F" w:rsidP="0002046F">
      <w:pPr>
        <w:autoSpaceDE/>
        <w:autoSpaceDN/>
        <w:adjustRightInd/>
        <w:snapToGrid/>
        <w:spacing w:after="180"/>
        <w:rPr>
          <w:rFonts w:eastAsia="MS Mincho"/>
          <w:lang w:val="en-GB" w:eastAsia="ja-JP"/>
        </w:rPr>
      </w:pPr>
      <w:r w:rsidRPr="0002046F">
        <w:rPr>
          <w:rFonts w:eastAsia="MS Mincho"/>
          <w:lang w:val="en-GB"/>
        </w:rPr>
        <w:t>As RAN4 described, the delivery of high-power UL across all bands is dependent on SAR/MPE considerations at the UE during CA/DC operation.</w:t>
      </w:r>
      <w:r w:rsidRPr="0002046F">
        <w:rPr>
          <w:rFonts w:eastAsia="MS Mincho"/>
          <w:lang w:eastAsia="zh-CN"/>
        </w:rPr>
        <w:t xml:space="preserve"> </w:t>
      </w:r>
      <w:r w:rsidRPr="0002046F">
        <w:rPr>
          <w:rFonts w:eastAsia="宋体" w:hint="eastAsia"/>
          <w:lang w:val="en-GB" w:eastAsia="zh-CN"/>
        </w:rPr>
        <w:t xml:space="preserve"> </w:t>
      </w:r>
      <w:r w:rsidRPr="0002046F">
        <w:rPr>
          <w:rFonts w:eastAsia="MS Mincho"/>
          <w:lang w:val="en-GB" w:eastAsia="zh-CN"/>
        </w:rPr>
        <w:t xml:space="preserve">SAR is RAN4 issue and </w:t>
      </w:r>
      <w:r w:rsidRPr="0002046F">
        <w:rPr>
          <w:rFonts w:eastAsia="MS Mincho"/>
          <w:lang w:val="en-GB" w:eastAsia="ja-JP"/>
        </w:rPr>
        <w:t>RAN1 may not understand how to handle SAR issue</w:t>
      </w:r>
      <w:r w:rsidRPr="0002046F">
        <w:rPr>
          <w:rFonts w:eastAsia="MS Mincho" w:hint="eastAsia"/>
          <w:lang w:val="en-GB" w:eastAsia="ja-JP"/>
        </w:rPr>
        <w:t>.</w:t>
      </w:r>
      <w:r w:rsidRPr="0002046F">
        <w:rPr>
          <w:rFonts w:eastAsia="MS Mincho"/>
          <w:lang w:val="en-GB" w:eastAsia="ja-JP"/>
        </w:rPr>
        <w:t xml:space="preserve"> Now both RAN1 and RAN4 discuss the same issue. RAN4 has discussed several possible solutions, however, there is no consensus on them yet.  RAN4 requests RAN1 to take this into account in their future work. Some companies would like to take a step forward in this discussion, without waiting for RAN4’s input. </w:t>
      </w:r>
      <w:r w:rsidRPr="0002046F">
        <w:rPr>
          <w:rFonts w:eastAsia="Malgun Gothic"/>
          <w:lang w:val="en-GB" w:eastAsia="ko-KR"/>
        </w:rPr>
        <w:t>Based on the situation</w:t>
      </w:r>
      <w:r w:rsidRPr="0002046F">
        <w:rPr>
          <w:rFonts w:eastAsia="MS Mincho"/>
          <w:lang w:val="en-GB" w:eastAsia="ja-JP"/>
        </w:rPr>
        <w:t xml:space="preserve">, RAN1 can further discuss the specific solutions but should subject to RAN4’s input. </w:t>
      </w:r>
    </w:p>
    <w:p w14:paraId="26B605B4" w14:textId="77777777" w:rsidR="0002046F" w:rsidRPr="0002046F" w:rsidRDefault="0002046F" w:rsidP="0002046F">
      <w:pPr>
        <w:autoSpaceDE/>
        <w:autoSpaceDN/>
        <w:adjustRightInd/>
        <w:snapToGrid/>
        <w:spacing w:after="180"/>
        <w:jc w:val="left"/>
        <w:rPr>
          <w:rFonts w:eastAsia="MS Mincho"/>
          <w:b/>
          <w:u w:val="single"/>
          <w:lang w:val="en-GB" w:eastAsia="x-none"/>
        </w:rPr>
      </w:pPr>
      <w:r w:rsidRPr="0002046F">
        <w:rPr>
          <w:rFonts w:eastAsia="MS Mincho" w:hint="eastAsia"/>
          <w:b/>
          <w:u w:val="single"/>
          <w:lang w:val="en-GB" w:eastAsia="x-none"/>
        </w:rPr>
        <w:t>R</w:t>
      </w:r>
      <w:r w:rsidRPr="0002046F">
        <w:rPr>
          <w:rFonts w:eastAsia="MS Mincho"/>
          <w:b/>
          <w:u w:val="single"/>
          <w:lang w:val="en-GB" w:eastAsia="x-none"/>
        </w:rPr>
        <w:t>eport current power class or power class change</w:t>
      </w:r>
    </w:p>
    <w:p w14:paraId="3005A08F" w14:textId="77777777" w:rsidR="0002046F" w:rsidRPr="0002046F" w:rsidRDefault="0002046F" w:rsidP="0002046F">
      <w:pPr>
        <w:autoSpaceDE/>
        <w:autoSpaceDN/>
        <w:adjustRightInd/>
        <w:snapToGrid/>
        <w:spacing w:after="180"/>
        <w:rPr>
          <w:rFonts w:eastAsia="MS Mincho"/>
        </w:rPr>
      </w:pPr>
      <w:r w:rsidRPr="0002046F">
        <w:rPr>
          <w:rFonts w:eastAsia="MS Mincho"/>
        </w:rPr>
        <w:t xml:space="preserve">We agree with majority that gNB should know UE power class (e.g., </w:t>
      </w:r>
      <w:r w:rsidRPr="0002046F">
        <w:rPr>
          <w:rFonts w:eastAsia="MS Mincho"/>
          <w:lang w:val="en-GB" w:eastAsia="ja-JP"/>
        </w:rPr>
        <w:t>higher power class or default power class</w:t>
      </w:r>
      <w:r w:rsidRPr="0002046F">
        <w:rPr>
          <w:rFonts w:eastAsia="MS Mincho"/>
        </w:rPr>
        <w:t xml:space="preserve">) for CA/DC case. Provide timely and sufficient information of UE’s power class </w:t>
      </w:r>
      <w:r w:rsidRPr="0002046F">
        <w:rPr>
          <w:rFonts w:eastAsia="MS Mincho" w:hint="eastAsia"/>
        </w:rPr>
        <w:t>c</w:t>
      </w:r>
      <w:r w:rsidRPr="0002046F">
        <w:rPr>
          <w:rFonts w:eastAsia="MS Mincho"/>
        </w:rPr>
        <w:t>an improve gNB performance to decide the uplink resource allocation and feature configuration</w:t>
      </w:r>
      <w:r w:rsidRPr="0002046F">
        <w:rPr>
          <w:rFonts w:ascii="宋体" w:eastAsia="宋体" w:hAnsi="宋体"/>
          <w:lang w:eastAsia="zh-CN"/>
        </w:rPr>
        <w:t>.</w:t>
      </w:r>
      <w:r w:rsidRPr="0002046F">
        <w:rPr>
          <w:rFonts w:eastAsia="MS Mincho"/>
        </w:rPr>
        <w:t>It may be the simplest and most direct way. It is need to study enhancement the current PHR reporting mechanism. In addition to current used power class, uplink symbol evaluation period and starting timing also should be reported by UE. With these information, gNB can adjust the UL transmission symbols to avoid power class fallback. That is a more proactive approach and can be supported. Regarding the reporting power class change, the necessity can be further discussed. Considering there may be multiple power fallbacks to meet SAR requirement, reporting power change alone is not enough to obtain accurate power class information. Therefore, it may be better to report the power class directly than to report the power class backoff.</w:t>
      </w:r>
    </w:p>
    <w:p w14:paraId="62ED6371"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hint="eastAsia"/>
          <w:b/>
          <w:i/>
          <w:lang w:val="en-GB" w:eastAsia="zh-CN"/>
        </w:rPr>
        <w:t>O</w:t>
      </w:r>
      <w:r w:rsidRPr="0002046F">
        <w:rPr>
          <w:rFonts w:eastAsia="宋体"/>
          <w:b/>
          <w:i/>
          <w:lang w:val="en-GB" w:eastAsia="zh-CN"/>
        </w:rPr>
        <w:t>bservation 6. Report Power class being used by the UE is a direct and proactive solution.</w:t>
      </w:r>
    </w:p>
    <w:p w14:paraId="480CC98E"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 xml:space="preserve">Proposal 6. Study a scheme for a </w:t>
      </w:r>
      <w:r w:rsidRPr="0002046F">
        <w:rPr>
          <w:rFonts w:eastAsia="宋体" w:hint="eastAsia"/>
          <w:b/>
          <w:i/>
          <w:lang w:val="en-GB" w:eastAsia="zh-CN"/>
        </w:rPr>
        <w:t>U</w:t>
      </w:r>
      <w:r w:rsidRPr="0002046F">
        <w:rPr>
          <w:rFonts w:eastAsia="宋体"/>
          <w:b/>
          <w:i/>
          <w:lang w:val="en-GB" w:eastAsia="zh-CN"/>
        </w:rPr>
        <w:t>E to report uplink symbol evaluation period and starting timing.</w:t>
      </w:r>
    </w:p>
    <w:p w14:paraId="2D9D2ED2"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Proposal 7. Study enhancements for UE to report current CA power class to gNB in PHR.</w:t>
      </w:r>
    </w:p>
    <w:p w14:paraId="0219E6CA"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Proposal 8. The necessity of power class change indication can be further discussed.</w:t>
      </w:r>
    </w:p>
    <w:p w14:paraId="36B78536" w14:textId="77777777" w:rsidR="0002046F" w:rsidRPr="0002046F" w:rsidRDefault="0002046F" w:rsidP="0002046F">
      <w:pPr>
        <w:autoSpaceDE/>
        <w:autoSpaceDN/>
        <w:adjustRightInd/>
        <w:snapToGrid/>
        <w:spacing w:after="180"/>
        <w:jc w:val="left"/>
        <w:rPr>
          <w:rFonts w:eastAsia="MS Mincho"/>
          <w:b/>
          <w:u w:val="single"/>
          <w:lang w:val="en-GB" w:eastAsia="x-none"/>
        </w:rPr>
      </w:pPr>
      <w:r w:rsidRPr="0002046F">
        <w:rPr>
          <w:rFonts w:eastAsia="MS Mincho" w:hint="eastAsia"/>
          <w:b/>
          <w:u w:val="single"/>
          <w:lang w:val="en-GB" w:eastAsia="x-none"/>
        </w:rPr>
        <w:t>R</w:t>
      </w:r>
      <w:r w:rsidRPr="0002046F">
        <w:rPr>
          <w:rFonts w:eastAsia="MS Mincho"/>
          <w:b/>
          <w:u w:val="single"/>
          <w:lang w:val="en-GB" w:eastAsia="x-none"/>
        </w:rPr>
        <w:t>eport P-MPR in FR1 carriers</w:t>
      </w:r>
    </w:p>
    <w:p w14:paraId="397E3A71" w14:textId="77777777" w:rsidR="0002046F" w:rsidRPr="0002046F" w:rsidRDefault="0002046F" w:rsidP="0002046F">
      <w:pPr>
        <w:autoSpaceDE/>
        <w:autoSpaceDN/>
        <w:adjustRightInd/>
        <w:snapToGrid/>
        <w:spacing w:after="180"/>
        <w:rPr>
          <w:rFonts w:eastAsia="MS Mincho"/>
        </w:rPr>
      </w:pPr>
      <w:r w:rsidRPr="0002046F">
        <w:rPr>
          <w:rFonts w:eastAsia="MS Mincho"/>
          <w:lang w:val="en-GB" w:eastAsia="x-none"/>
        </w:rPr>
        <w:lastRenderedPageBreak/>
        <w:t>P-MPR</w:t>
      </w:r>
      <w:r w:rsidRPr="0002046F">
        <w:rPr>
          <w:rFonts w:eastAsia="MS Mincho"/>
        </w:rPr>
        <w:t xml:space="preserve"> is </w:t>
      </w:r>
      <w:r w:rsidRPr="0002046F">
        <w:rPr>
          <w:rFonts w:eastAsia="MS Mincho"/>
          <w:lang w:val="en-GB" w:eastAsia="zh-CN"/>
        </w:rPr>
        <w:t>the power management maximum power reduction for</w:t>
      </w:r>
      <w:r w:rsidRPr="0002046F">
        <w:rPr>
          <w:rFonts w:eastAsia="MS Mincho"/>
        </w:rPr>
        <w:t xml:space="preserve"> </w:t>
      </w:r>
      <w:r w:rsidRPr="0002046F">
        <w:rPr>
          <w:rFonts w:eastAsia="MS Mincho"/>
          <w:lang w:val="en-GB" w:eastAsia="zh-CN"/>
        </w:rPr>
        <w:t>ensuring compliance with</w:t>
      </w:r>
      <w:r w:rsidRPr="0002046F">
        <w:rPr>
          <w:rFonts w:eastAsia="MS Mincho"/>
        </w:rPr>
        <w:t xml:space="preserve"> applicable electromagnetic energy absorption requirements of FR2 UE from the perspective of human body safety, which mainly specifies the maximum emission power density of UE in a certain direction. FR2 UE may reduce its power more frequently than FR1 UE and power fallback is large, which will lead to radio link failures.  Thus, for FR2, P-MPR reporting is introduced to avoid radio link failures and connection releases due to significant and unpredictable P-MPR.  </w:t>
      </w:r>
      <w:r w:rsidRPr="0002046F">
        <w:rPr>
          <w:rFonts w:eastAsia="MS Mincho" w:hint="eastAsia"/>
        </w:rPr>
        <w:t>H</w:t>
      </w:r>
      <w:r w:rsidRPr="0002046F">
        <w:rPr>
          <w:rFonts w:eastAsia="MS Mincho"/>
        </w:rPr>
        <w:t>owever, FR1 is different with FR2. The power backoff in FR1 is not large, so further optimization is not necessary. There is no need to introduce P-MPR reporting for FR1.</w:t>
      </w:r>
    </w:p>
    <w:p w14:paraId="3A94D904"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Observation 7. The P-MPR in FR1 is not large and no RLF issue is identified.</w:t>
      </w:r>
    </w:p>
    <w:p w14:paraId="7B5651BB"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Proposal 9. Do not support P-MPR reporting in FR1.</w:t>
      </w:r>
    </w:p>
    <w:p w14:paraId="25A44A3B" w14:textId="22F81FA0" w:rsidR="00DE499E" w:rsidRPr="00D041B9" w:rsidRDefault="00DE499E" w:rsidP="00CC2BA6">
      <w:pPr>
        <w:rPr>
          <w:lang w:val="en-GB" w:eastAsia="zh-CN"/>
        </w:rPr>
      </w:pPr>
    </w:p>
    <w:p w14:paraId="318762E3" w14:textId="77777777" w:rsidR="00E015EC" w:rsidRDefault="00E015EC" w:rsidP="00E015EC">
      <w:pPr>
        <w:pStyle w:val="1"/>
      </w:pPr>
      <w:bookmarkStart w:id="6" w:name="_GoBack"/>
      <w:bookmarkEnd w:id="6"/>
      <w:r>
        <w:t>Conclusion</w:t>
      </w:r>
    </w:p>
    <w:p w14:paraId="79311913" w14:textId="1259B88F" w:rsidR="00A731B3" w:rsidRDefault="00A731B3" w:rsidP="0097133A">
      <w:pPr>
        <w:rPr>
          <w:lang w:eastAsia="zh-CN"/>
        </w:rPr>
      </w:pPr>
      <w:r w:rsidRPr="00A731B3">
        <w:rPr>
          <w:lang w:eastAsia="zh-CN"/>
        </w:rPr>
        <w:t>In this contribution, we have the following observations and proposals.</w:t>
      </w:r>
    </w:p>
    <w:p w14:paraId="08E31C2F" w14:textId="77777777" w:rsidR="0002046F" w:rsidRP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t>Observation 1. For Approach A.1-b/ A.2-b, the characteristics of the DMRS sequence is not changed and can maintain low PAPR performance.</w:t>
      </w:r>
    </w:p>
    <w:p w14:paraId="0BBCF604" w14:textId="77777777" w:rsidR="0002046F" w:rsidRPr="0002046F" w:rsidRDefault="0002046F" w:rsidP="0002046F">
      <w:pPr>
        <w:autoSpaceDE/>
        <w:autoSpaceDN/>
        <w:adjustRightInd/>
        <w:snapToGrid/>
        <w:rPr>
          <w:rFonts w:eastAsia="宋体"/>
          <w:b/>
          <w:i/>
          <w:lang w:val="en-GB" w:eastAsia="zh-CN"/>
        </w:rPr>
      </w:pPr>
      <w:r w:rsidRPr="0002046F">
        <w:rPr>
          <w:rFonts w:eastAsia="宋体"/>
          <w:b/>
          <w:i/>
          <w:lang w:val="en-GB" w:eastAsia="zh-CN"/>
        </w:rPr>
        <w:t>Observation 2. Approach A.1-c may result in increasing PAPR and CM.</w:t>
      </w:r>
    </w:p>
    <w:p w14:paraId="6B36C11B" w14:textId="2706A989" w:rsidR="0002046F" w:rsidRP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t xml:space="preserve">Observation 3. For </w:t>
      </w:r>
      <w:r w:rsidR="000C1D0A">
        <w:rPr>
          <w:rFonts w:eastAsia="MS Mincho"/>
          <w:b/>
          <w:bCs/>
          <w:i/>
          <w:iCs/>
          <w:lang w:val="en-GB"/>
        </w:rPr>
        <w:t>T</w:t>
      </w:r>
      <w:r w:rsidRPr="0002046F">
        <w:rPr>
          <w:rFonts w:eastAsia="MS Mincho"/>
          <w:b/>
          <w:bCs/>
          <w:i/>
          <w:iCs/>
          <w:lang w:val="en-GB"/>
        </w:rPr>
        <w:t xml:space="preserve">ype 1 DMRS sequence in Approach B, PAPR performance of DMRS is worse than that of data. </w:t>
      </w:r>
    </w:p>
    <w:p w14:paraId="2E9B17DB" w14:textId="0CEFCB49" w:rsidR="0002046F" w:rsidRPr="0002046F" w:rsidRDefault="0002046F" w:rsidP="0002046F">
      <w:pPr>
        <w:autoSpaceDE/>
        <w:autoSpaceDN/>
        <w:adjustRightInd/>
        <w:snapToGrid/>
        <w:spacing w:after="180"/>
        <w:rPr>
          <w:rFonts w:eastAsia="MS Mincho"/>
          <w:b/>
          <w:bCs/>
          <w:i/>
          <w:iCs/>
          <w:lang w:val="en-GB"/>
        </w:rPr>
      </w:pPr>
      <w:r w:rsidRPr="0002046F">
        <w:rPr>
          <w:rFonts w:eastAsia="MS Mincho"/>
          <w:b/>
          <w:bCs/>
          <w:i/>
          <w:iCs/>
          <w:lang w:val="en-GB"/>
        </w:rPr>
        <w:t xml:space="preserve">Observation 4. For low PAPR </w:t>
      </w:r>
      <w:r w:rsidR="000C1D0A">
        <w:rPr>
          <w:rFonts w:eastAsia="MS Mincho"/>
          <w:b/>
          <w:bCs/>
          <w:i/>
          <w:iCs/>
          <w:lang w:val="en-GB"/>
        </w:rPr>
        <w:t>T</w:t>
      </w:r>
      <w:r w:rsidRPr="0002046F">
        <w:rPr>
          <w:rFonts w:eastAsia="MS Mincho"/>
          <w:b/>
          <w:bCs/>
          <w:i/>
          <w:iCs/>
          <w:lang w:val="en-GB"/>
        </w:rPr>
        <w:t>ype 2 DMRS sequence with or without extension, the good PAPR/CM performance can be obtained.</w:t>
      </w:r>
    </w:p>
    <w:p w14:paraId="0EEEE788" w14:textId="77777777" w:rsidR="0002046F" w:rsidRPr="0002046F" w:rsidRDefault="0002046F" w:rsidP="0002046F">
      <w:pPr>
        <w:autoSpaceDE/>
        <w:autoSpaceDN/>
        <w:adjustRightInd/>
        <w:snapToGrid/>
        <w:spacing w:after="180"/>
        <w:rPr>
          <w:rFonts w:eastAsia="宋体"/>
          <w:b/>
          <w:i/>
          <w:lang w:val="en-GB" w:eastAsia="zh-CN"/>
        </w:rPr>
      </w:pPr>
      <w:r w:rsidRPr="0002046F">
        <w:rPr>
          <w:rFonts w:eastAsia="宋体"/>
          <w:b/>
          <w:i/>
          <w:lang w:val="en-GB" w:eastAsia="zh-CN"/>
        </w:rPr>
        <w:t>Observation 5. The most important issue of tone reservation is how to generate the compensation signal c for data signal x, the complexity and flexibility should be identified first for the iteration steps.</w:t>
      </w:r>
    </w:p>
    <w:p w14:paraId="7E34FE01"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hint="eastAsia"/>
          <w:b/>
          <w:i/>
          <w:lang w:val="en-GB" w:eastAsia="zh-CN"/>
        </w:rPr>
        <w:t>O</w:t>
      </w:r>
      <w:r w:rsidRPr="0002046F">
        <w:rPr>
          <w:rFonts w:eastAsia="宋体"/>
          <w:b/>
          <w:i/>
          <w:lang w:val="en-GB" w:eastAsia="zh-CN"/>
        </w:rPr>
        <w:t>bservation 6. Report Power class being used by the UE is a direct and proactive solution.</w:t>
      </w:r>
    </w:p>
    <w:p w14:paraId="52017601"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Observation 7. The P-MPR in FR1 is not large and no RLF issue is identified.</w:t>
      </w:r>
    </w:p>
    <w:p w14:paraId="1D18F821" w14:textId="77777777" w:rsidR="0002046F" w:rsidRPr="0002046F" w:rsidRDefault="0002046F" w:rsidP="0002046F">
      <w:pPr>
        <w:autoSpaceDE/>
        <w:autoSpaceDN/>
        <w:adjustRightInd/>
        <w:snapToGrid/>
        <w:rPr>
          <w:rFonts w:eastAsia="MS Mincho"/>
          <w:b/>
          <w:bCs/>
          <w:i/>
          <w:iCs/>
          <w:lang w:val="en-GB"/>
        </w:rPr>
      </w:pPr>
      <w:r w:rsidRPr="0002046F">
        <w:rPr>
          <w:rFonts w:eastAsia="MS Mincho" w:hint="eastAsia"/>
          <w:b/>
          <w:bCs/>
          <w:i/>
          <w:iCs/>
          <w:lang w:val="en-GB"/>
        </w:rPr>
        <w:t>P</w:t>
      </w:r>
      <w:r w:rsidRPr="0002046F">
        <w:rPr>
          <w:rFonts w:eastAsia="MS Mincho"/>
          <w:b/>
          <w:bCs/>
          <w:i/>
          <w:iCs/>
          <w:lang w:val="en-GB"/>
        </w:rPr>
        <w:t>roposal 1. Type 1 DMRS sequences with Approach A.1-b can be considered when the DMRS sequence length before extension of the sequence is larger than or equal to 30.</w:t>
      </w:r>
    </w:p>
    <w:p w14:paraId="61F3D5D0" w14:textId="77777777" w:rsidR="0002046F" w:rsidRPr="0002046F" w:rsidRDefault="0002046F" w:rsidP="0002046F">
      <w:pPr>
        <w:autoSpaceDE/>
        <w:autoSpaceDN/>
        <w:adjustRightInd/>
        <w:snapToGrid/>
        <w:rPr>
          <w:rFonts w:eastAsia="MS Mincho"/>
          <w:b/>
          <w:bCs/>
          <w:i/>
          <w:iCs/>
          <w:lang w:val="en-GB"/>
        </w:rPr>
      </w:pPr>
      <w:r w:rsidRPr="0002046F">
        <w:rPr>
          <w:rFonts w:eastAsia="MS Mincho" w:hint="eastAsia"/>
          <w:b/>
          <w:bCs/>
          <w:i/>
          <w:iCs/>
          <w:lang w:val="en-GB"/>
        </w:rPr>
        <w:t>P</w:t>
      </w:r>
      <w:r w:rsidRPr="0002046F">
        <w:rPr>
          <w:rFonts w:eastAsia="MS Mincho"/>
          <w:b/>
          <w:bCs/>
          <w:i/>
          <w:iCs/>
          <w:lang w:val="en-GB"/>
        </w:rPr>
        <w:t>roposal 2. The applicability of type 2 sequences with spectrum extension can be further studied.</w:t>
      </w:r>
    </w:p>
    <w:p w14:paraId="625E85DF" w14:textId="77777777" w:rsidR="0002046F" w:rsidRPr="0002046F" w:rsidRDefault="0002046F" w:rsidP="0002046F">
      <w:pPr>
        <w:autoSpaceDE/>
        <w:autoSpaceDN/>
        <w:adjustRightInd/>
        <w:snapToGrid/>
        <w:rPr>
          <w:rFonts w:eastAsia="MS Mincho"/>
          <w:b/>
          <w:bCs/>
          <w:i/>
          <w:iCs/>
          <w:lang w:val="en-GB"/>
        </w:rPr>
      </w:pPr>
      <w:r w:rsidRPr="0002046F">
        <w:rPr>
          <w:rFonts w:eastAsia="MS Mincho" w:hint="eastAsia"/>
          <w:b/>
          <w:bCs/>
          <w:i/>
          <w:iCs/>
          <w:lang w:val="en-GB"/>
        </w:rPr>
        <w:t>P</w:t>
      </w:r>
      <w:r w:rsidRPr="0002046F">
        <w:rPr>
          <w:rFonts w:eastAsia="MS Mincho"/>
          <w:b/>
          <w:bCs/>
          <w:i/>
          <w:iCs/>
          <w:lang w:val="en-GB"/>
        </w:rPr>
        <w:t>roposal 3. The applicable DMRS sequence require further study for short DMRS sequence.</w:t>
      </w:r>
    </w:p>
    <w:p w14:paraId="5F4298C5" w14:textId="77777777" w:rsidR="0002046F" w:rsidRPr="0002046F" w:rsidRDefault="0002046F" w:rsidP="0002046F">
      <w:pPr>
        <w:autoSpaceDE/>
        <w:autoSpaceDN/>
        <w:adjustRightInd/>
        <w:snapToGrid/>
        <w:spacing w:after="180"/>
        <w:rPr>
          <w:rFonts w:eastAsia="宋体"/>
          <w:b/>
          <w:i/>
          <w:lang w:eastAsia="zh-CN"/>
        </w:rPr>
      </w:pPr>
      <w:r w:rsidRPr="0002046F">
        <w:rPr>
          <w:rFonts w:eastAsia="宋体"/>
          <w:b/>
          <w:i/>
          <w:lang w:eastAsia="zh-CN"/>
        </w:rPr>
        <w:t xml:space="preserve">Proposal 4. </w:t>
      </w:r>
      <w:r w:rsidRPr="0002046F">
        <w:rPr>
          <w:rFonts w:eastAsia="宋体"/>
          <w:b/>
          <w:i/>
          <w:lang w:val="en-GB" w:eastAsia="zh-CN"/>
        </w:rPr>
        <w:t>The FDRA field only indicates the number of PRBs in the inband.</w:t>
      </w:r>
      <w:r w:rsidRPr="0002046F">
        <w:rPr>
          <w:rFonts w:eastAsia="宋体"/>
          <w:b/>
          <w:i/>
          <w:lang w:eastAsia="zh-CN"/>
        </w:rPr>
        <w:t xml:space="preserve"> </w:t>
      </w:r>
    </w:p>
    <w:p w14:paraId="18EBB8D3" w14:textId="77777777" w:rsidR="0002046F" w:rsidRPr="0002046F" w:rsidRDefault="0002046F" w:rsidP="0002046F">
      <w:pPr>
        <w:autoSpaceDE/>
        <w:autoSpaceDN/>
        <w:adjustRightInd/>
        <w:snapToGrid/>
        <w:spacing w:after="180"/>
        <w:rPr>
          <w:rFonts w:eastAsia="宋体"/>
          <w:b/>
          <w:i/>
          <w:lang w:val="en-GB" w:eastAsia="zh-CN"/>
        </w:rPr>
      </w:pPr>
      <w:r w:rsidRPr="0002046F">
        <w:rPr>
          <w:rFonts w:eastAsia="宋体"/>
          <w:b/>
          <w:i/>
          <w:lang w:eastAsia="zh-CN"/>
        </w:rPr>
        <w:t xml:space="preserve">Proposal 5. </w:t>
      </w:r>
      <w:r w:rsidRPr="0002046F">
        <w:rPr>
          <w:rFonts w:eastAsia="宋体"/>
          <w:b/>
          <w:i/>
          <w:lang w:val="en-GB" w:eastAsia="zh-CN"/>
        </w:rPr>
        <w:t>The scheme of generating integer PRB numbers for the extension band should be studied.</w:t>
      </w:r>
    </w:p>
    <w:p w14:paraId="261E48C7"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 xml:space="preserve">Proposal 6. Study a scheme for a </w:t>
      </w:r>
      <w:r w:rsidRPr="0002046F">
        <w:rPr>
          <w:rFonts w:eastAsia="宋体" w:hint="eastAsia"/>
          <w:b/>
          <w:i/>
          <w:lang w:val="en-GB" w:eastAsia="zh-CN"/>
        </w:rPr>
        <w:t>U</w:t>
      </w:r>
      <w:r w:rsidRPr="0002046F">
        <w:rPr>
          <w:rFonts w:eastAsia="宋体"/>
          <w:b/>
          <w:i/>
          <w:lang w:val="en-GB" w:eastAsia="zh-CN"/>
        </w:rPr>
        <w:t>E to report uplink symbol evaluation period and starting timing.</w:t>
      </w:r>
    </w:p>
    <w:p w14:paraId="72DAB0C3"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Proposal 7. Study enhancements for UE to report current CA power class to gNB in PHR.</w:t>
      </w:r>
    </w:p>
    <w:p w14:paraId="4ABC2B11" w14:textId="77777777" w:rsidR="0002046F"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Proposal 8. The necessity of power class change indication can be further discussed.</w:t>
      </w:r>
    </w:p>
    <w:p w14:paraId="6D164202" w14:textId="5994EA12" w:rsidR="000318E4" w:rsidRPr="0002046F" w:rsidRDefault="0002046F" w:rsidP="0002046F">
      <w:pPr>
        <w:autoSpaceDE/>
        <w:autoSpaceDN/>
        <w:adjustRightInd/>
        <w:snapToGrid/>
        <w:spacing w:after="180"/>
        <w:jc w:val="left"/>
        <w:rPr>
          <w:rFonts w:eastAsia="宋体"/>
          <w:b/>
          <w:i/>
          <w:lang w:val="en-GB" w:eastAsia="zh-CN"/>
        </w:rPr>
      </w:pPr>
      <w:r w:rsidRPr="0002046F">
        <w:rPr>
          <w:rFonts w:eastAsia="宋体"/>
          <w:b/>
          <w:i/>
          <w:lang w:val="en-GB" w:eastAsia="zh-CN"/>
        </w:rPr>
        <w:t>Proposal 9. Do not support P-MPR reporting in FR1.</w:t>
      </w:r>
    </w:p>
    <w:p w14:paraId="28464913" w14:textId="18CB9FD9" w:rsidR="0002046F" w:rsidRPr="0002046F" w:rsidRDefault="00847CD5" w:rsidP="0002046F">
      <w:pPr>
        <w:pStyle w:val="1"/>
      </w:pPr>
      <w:r w:rsidRPr="00847CD5">
        <w:t>Reference</w:t>
      </w:r>
    </w:p>
    <w:bookmarkEnd w:id="3"/>
    <w:p w14:paraId="76F216FF" w14:textId="77777777" w:rsidR="0002046F" w:rsidRPr="00B36F94" w:rsidRDefault="0002046F" w:rsidP="0002046F">
      <w:pPr>
        <w:pStyle w:val="References"/>
        <w:jc w:val="both"/>
        <w:rPr>
          <w:sz w:val="22"/>
          <w:szCs w:val="22"/>
          <w:lang w:eastAsia="zh-CN"/>
        </w:rPr>
      </w:pPr>
      <w:r w:rsidRPr="00B36F94">
        <w:rPr>
          <w:sz w:val="22"/>
          <w:szCs w:val="22"/>
          <w:lang w:eastAsia="zh-CN"/>
        </w:rPr>
        <w:t>RP-221858, Revised WID on Further NR coverage enhancements</w:t>
      </w:r>
    </w:p>
    <w:p w14:paraId="406936F0" w14:textId="77777777" w:rsidR="0002046F" w:rsidRPr="00B36F94" w:rsidRDefault="0002046F" w:rsidP="0002046F">
      <w:pPr>
        <w:pStyle w:val="References"/>
        <w:jc w:val="both"/>
        <w:rPr>
          <w:sz w:val="22"/>
          <w:szCs w:val="22"/>
          <w:lang w:eastAsia="zh-CN"/>
        </w:rPr>
      </w:pPr>
      <w:r w:rsidRPr="00B36F94">
        <w:rPr>
          <w:sz w:val="22"/>
          <w:szCs w:val="22"/>
          <w:lang w:eastAsia="zh-CN"/>
        </w:rPr>
        <w:t>3GPP RAN1, RAN1#112, Chairman Notes.</w:t>
      </w:r>
    </w:p>
    <w:p w14:paraId="1F6D6A3C" w14:textId="77777777" w:rsidR="0002046F" w:rsidRPr="00B36F94" w:rsidRDefault="0002046F" w:rsidP="0002046F">
      <w:pPr>
        <w:pStyle w:val="References"/>
        <w:jc w:val="both"/>
        <w:rPr>
          <w:sz w:val="22"/>
          <w:szCs w:val="22"/>
          <w:lang w:eastAsia="zh-CN"/>
        </w:rPr>
      </w:pPr>
      <w:r w:rsidRPr="00B36F94">
        <w:rPr>
          <w:sz w:val="22"/>
          <w:szCs w:val="22"/>
          <w:lang w:eastAsia="zh-CN"/>
        </w:rPr>
        <w:t>R1-2300245,“Discussion on power domain enhancements”, Spreadtrum Communications</w:t>
      </w:r>
    </w:p>
    <w:p w14:paraId="4391397E" w14:textId="77777777" w:rsidR="0002046F" w:rsidRPr="00B36F94" w:rsidRDefault="0002046F" w:rsidP="0002046F">
      <w:pPr>
        <w:pStyle w:val="References"/>
        <w:jc w:val="both"/>
        <w:rPr>
          <w:sz w:val="22"/>
          <w:szCs w:val="22"/>
          <w:lang w:eastAsia="zh-CN"/>
        </w:rPr>
      </w:pPr>
      <w:r w:rsidRPr="00B36F94">
        <w:rPr>
          <w:sz w:val="22"/>
          <w:szCs w:val="22"/>
          <w:lang w:eastAsia="zh-CN"/>
        </w:rPr>
        <w:t>R1-2212577</w:t>
      </w:r>
      <w:r w:rsidRPr="00B36F94">
        <w:rPr>
          <w:sz w:val="22"/>
          <w:szCs w:val="22"/>
          <w:lang w:eastAsia="zh-CN"/>
        </w:rPr>
        <w:t>，</w:t>
      </w:r>
      <w:r w:rsidRPr="00B36F94">
        <w:rPr>
          <w:sz w:val="22"/>
          <w:szCs w:val="22"/>
          <w:lang w:eastAsia="zh-CN"/>
        </w:rPr>
        <w:t>Final FL summary of power domain enhancements (AI 9.14.2), Moderator (Nokia)</w:t>
      </w:r>
    </w:p>
    <w:p w14:paraId="35576B5E" w14:textId="77777777" w:rsidR="0002046F" w:rsidRPr="00B36F94" w:rsidRDefault="0002046F" w:rsidP="0002046F">
      <w:pPr>
        <w:pStyle w:val="References"/>
        <w:jc w:val="both"/>
        <w:rPr>
          <w:sz w:val="22"/>
          <w:szCs w:val="22"/>
          <w:lang w:eastAsia="zh-CN"/>
        </w:rPr>
      </w:pPr>
      <w:r w:rsidRPr="00B36F94">
        <w:rPr>
          <w:sz w:val="22"/>
          <w:szCs w:val="22"/>
          <w:lang w:eastAsia="zh-CN"/>
        </w:rPr>
        <w:lastRenderedPageBreak/>
        <w:t>J. Tellado, Multicarrier Modulation With Low PAR: Applications to DSL and Wireless, 2000</w:t>
      </w:r>
    </w:p>
    <w:p w14:paraId="3D48C045" w14:textId="45EFE839" w:rsidR="006D5F84" w:rsidRPr="00B36F94" w:rsidRDefault="0002046F" w:rsidP="00486451">
      <w:pPr>
        <w:pStyle w:val="References"/>
        <w:jc w:val="both"/>
        <w:rPr>
          <w:lang w:eastAsia="zh-CN"/>
        </w:rPr>
      </w:pPr>
      <w:r w:rsidRPr="00B36F94">
        <w:rPr>
          <w:sz w:val="22"/>
          <w:szCs w:val="22"/>
          <w:lang w:eastAsia="zh-CN"/>
        </w:rPr>
        <w:t>TS 38.101, “NR</w:t>
      </w:r>
      <w:r w:rsidRPr="00B36F94">
        <w:rPr>
          <w:sz w:val="22"/>
          <w:szCs w:val="22"/>
          <w:lang w:eastAsia="zh-CN"/>
        </w:rPr>
        <w:t>，</w:t>
      </w:r>
      <w:r w:rsidRPr="00B36F94">
        <w:rPr>
          <w:sz w:val="22"/>
          <w:szCs w:val="22"/>
          <w:lang w:eastAsia="zh-CN"/>
        </w:rPr>
        <w:t xml:space="preserve">User Equipment (UE) radio transmission and reception” </w:t>
      </w:r>
    </w:p>
    <w:sectPr w:rsidR="006D5F84" w:rsidRPr="00B36F9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BDC74E" w14:textId="77777777" w:rsidR="003F5F70" w:rsidRDefault="003F5F70">
      <w:r>
        <w:separator/>
      </w:r>
    </w:p>
  </w:endnote>
  <w:endnote w:type="continuationSeparator" w:id="0">
    <w:p w14:paraId="00656E7E" w14:textId="77777777" w:rsidR="003F5F70" w:rsidRDefault="003F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MT Extra"/>
    <w:charset w:val="02"/>
    <w:family w:val="decorative"/>
    <w:pitch w:val="default"/>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F0E59" w14:textId="77777777" w:rsidR="003F5F70" w:rsidRDefault="003F5F70">
      <w:r>
        <w:separator/>
      </w:r>
    </w:p>
  </w:footnote>
  <w:footnote w:type="continuationSeparator" w:id="0">
    <w:p w14:paraId="6B6136E5" w14:textId="77777777" w:rsidR="003F5F70" w:rsidRDefault="003F5F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20C0FBB"/>
    <w:multiLevelType w:val="hybridMultilevel"/>
    <w:tmpl w:val="9CD2C1F0"/>
    <w:lvl w:ilvl="0" w:tplc="040C0005">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4A624C79"/>
    <w:multiLevelType w:val="hybridMultilevel"/>
    <w:tmpl w:val="FB047C32"/>
    <w:lvl w:ilvl="0" w:tplc="CE842114">
      <w:start w:val="4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2330B63"/>
    <w:multiLevelType w:val="hybridMultilevel"/>
    <w:tmpl w:val="BB18304C"/>
    <w:lvl w:ilvl="0" w:tplc="5D6675DE">
      <w:start w:val="1"/>
      <w:numFmt w:val="decimal"/>
      <w:pStyle w:val="10"/>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2"/>
  </w:num>
  <w:num w:numId="4">
    <w:abstractNumId w:val="13"/>
  </w:num>
  <w:num w:numId="5">
    <w:abstractNumId w:val="9"/>
  </w:num>
  <w:num w:numId="6">
    <w:abstractNumId w:val="4"/>
  </w:num>
  <w:num w:numId="7">
    <w:abstractNumId w:val="14"/>
  </w:num>
  <w:num w:numId="8">
    <w:abstractNumId w:val="2"/>
  </w:num>
  <w:num w:numId="9">
    <w:abstractNumId w:val="7"/>
  </w:num>
  <w:num w:numId="10">
    <w:abstractNumId w:val="5"/>
  </w:num>
  <w:num w:numId="11">
    <w:abstractNumId w:val="8"/>
  </w:num>
  <w:num w:numId="12">
    <w:abstractNumId w:val="11"/>
  </w:num>
  <w:num w:numId="13">
    <w:abstractNumId w:val="6"/>
  </w:num>
  <w:num w:numId="14">
    <w:abstractNumId w:val="3"/>
  </w:num>
  <w:num w:numId="15">
    <w:abstractNumId w:val="0"/>
  </w:num>
  <w:num w:numId="16">
    <w:abstractNumId w:val="15"/>
  </w:num>
  <w:num w:numId="17">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D9C"/>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46F"/>
    <w:rsid w:val="0002059E"/>
    <w:rsid w:val="00020AE4"/>
    <w:rsid w:val="000210A9"/>
    <w:rsid w:val="000211EB"/>
    <w:rsid w:val="00021498"/>
    <w:rsid w:val="00021B29"/>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88"/>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D8E"/>
    <w:rsid w:val="0005106E"/>
    <w:rsid w:val="000512BF"/>
    <w:rsid w:val="000512C9"/>
    <w:rsid w:val="0005131C"/>
    <w:rsid w:val="00051844"/>
    <w:rsid w:val="0005187C"/>
    <w:rsid w:val="0005188A"/>
    <w:rsid w:val="0005195B"/>
    <w:rsid w:val="00051E6D"/>
    <w:rsid w:val="000520C3"/>
    <w:rsid w:val="0005226F"/>
    <w:rsid w:val="000525C5"/>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629"/>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8A"/>
    <w:rsid w:val="00064B3C"/>
    <w:rsid w:val="00064C15"/>
    <w:rsid w:val="00064CB9"/>
    <w:rsid w:val="00064EE1"/>
    <w:rsid w:val="000654CE"/>
    <w:rsid w:val="000656E0"/>
    <w:rsid w:val="0006596B"/>
    <w:rsid w:val="000659F7"/>
    <w:rsid w:val="00065C2A"/>
    <w:rsid w:val="00065D38"/>
    <w:rsid w:val="00065FC2"/>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EBF"/>
    <w:rsid w:val="00070EF8"/>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B6A"/>
    <w:rsid w:val="00083B8C"/>
    <w:rsid w:val="00083FE3"/>
    <w:rsid w:val="00084065"/>
    <w:rsid w:val="000842D8"/>
    <w:rsid w:val="000845C8"/>
    <w:rsid w:val="0008482A"/>
    <w:rsid w:val="00084E30"/>
    <w:rsid w:val="00084EF7"/>
    <w:rsid w:val="00085059"/>
    <w:rsid w:val="00085535"/>
    <w:rsid w:val="0008581C"/>
    <w:rsid w:val="00085E04"/>
    <w:rsid w:val="00085E2E"/>
    <w:rsid w:val="00085FA2"/>
    <w:rsid w:val="00086030"/>
    <w:rsid w:val="0008648A"/>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3F3"/>
    <w:rsid w:val="000A1441"/>
    <w:rsid w:val="000A162E"/>
    <w:rsid w:val="000A1797"/>
    <w:rsid w:val="000A1A06"/>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A19"/>
    <w:rsid w:val="000A4A9B"/>
    <w:rsid w:val="000A4B56"/>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B59"/>
    <w:rsid w:val="000C1D0A"/>
    <w:rsid w:val="000C1F98"/>
    <w:rsid w:val="000C252B"/>
    <w:rsid w:val="000C2E99"/>
    <w:rsid w:val="000C2FBD"/>
    <w:rsid w:val="000C321F"/>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469"/>
    <w:rsid w:val="000E07D6"/>
    <w:rsid w:val="000E08BD"/>
    <w:rsid w:val="000E1380"/>
    <w:rsid w:val="000E156A"/>
    <w:rsid w:val="000E18DF"/>
    <w:rsid w:val="000E194D"/>
    <w:rsid w:val="000E1EF6"/>
    <w:rsid w:val="000E209D"/>
    <w:rsid w:val="000E2AB6"/>
    <w:rsid w:val="000E3723"/>
    <w:rsid w:val="000E3877"/>
    <w:rsid w:val="000E3F4A"/>
    <w:rsid w:val="000E416F"/>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D0D"/>
    <w:rsid w:val="000E6FEA"/>
    <w:rsid w:val="000E715D"/>
    <w:rsid w:val="000E7484"/>
    <w:rsid w:val="000E7566"/>
    <w:rsid w:val="000E76F3"/>
    <w:rsid w:val="000E7A84"/>
    <w:rsid w:val="000E7D13"/>
    <w:rsid w:val="000E7E15"/>
    <w:rsid w:val="000F0986"/>
    <w:rsid w:val="000F15BC"/>
    <w:rsid w:val="000F15F2"/>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3"/>
    <w:rsid w:val="0010202C"/>
    <w:rsid w:val="0010207A"/>
    <w:rsid w:val="001026CA"/>
    <w:rsid w:val="001028B1"/>
    <w:rsid w:val="00102C74"/>
    <w:rsid w:val="001034AB"/>
    <w:rsid w:val="00103578"/>
    <w:rsid w:val="00104031"/>
    <w:rsid w:val="001042E8"/>
    <w:rsid w:val="001043C2"/>
    <w:rsid w:val="001043E1"/>
    <w:rsid w:val="0010505A"/>
    <w:rsid w:val="001058C9"/>
    <w:rsid w:val="00105CC7"/>
    <w:rsid w:val="00105CCB"/>
    <w:rsid w:val="00105E14"/>
    <w:rsid w:val="00105F1D"/>
    <w:rsid w:val="0010649E"/>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531"/>
    <w:rsid w:val="001136AD"/>
    <w:rsid w:val="001137B6"/>
    <w:rsid w:val="00113BC6"/>
    <w:rsid w:val="00113EEA"/>
    <w:rsid w:val="001141E3"/>
    <w:rsid w:val="001142DF"/>
    <w:rsid w:val="001144DF"/>
    <w:rsid w:val="00114A77"/>
    <w:rsid w:val="00114C5B"/>
    <w:rsid w:val="00114CB6"/>
    <w:rsid w:val="001150D8"/>
    <w:rsid w:val="001151C2"/>
    <w:rsid w:val="0011557B"/>
    <w:rsid w:val="001155F3"/>
    <w:rsid w:val="00115661"/>
    <w:rsid w:val="00115C4F"/>
    <w:rsid w:val="00115EF7"/>
    <w:rsid w:val="00116552"/>
    <w:rsid w:val="001165DF"/>
    <w:rsid w:val="0011668E"/>
    <w:rsid w:val="00116896"/>
    <w:rsid w:val="00116D81"/>
    <w:rsid w:val="00116E19"/>
    <w:rsid w:val="0011716C"/>
    <w:rsid w:val="00117683"/>
    <w:rsid w:val="00117790"/>
    <w:rsid w:val="00117A6A"/>
    <w:rsid w:val="00117B4E"/>
    <w:rsid w:val="00117C85"/>
    <w:rsid w:val="00117F1B"/>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F74"/>
    <w:rsid w:val="00141191"/>
    <w:rsid w:val="0014159C"/>
    <w:rsid w:val="00142058"/>
    <w:rsid w:val="001420E4"/>
    <w:rsid w:val="0014225B"/>
    <w:rsid w:val="0014244E"/>
    <w:rsid w:val="00142665"/>
    <w:rsid w:val="00142845"/>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880"/>
    <w:rsid w:val="0019288A"/>
    <w:rsid w:val="001929EB"/>
    <w:rsid w:val="00192B72"/>
    <w:rsid w:val="00192DD9"/>
    <w:rsid w:val="00192EA5"/>
    <w:rsid w:val="00193186"/>
    <w:rsid w:val="00193531"/>
    <w:rsid w:val="00193B64"/>
    <w:rsid w:val="00193C1A"/>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7213"/>
    <w:rsid w:val="001974A3"/>
    <w:rsid w:val="00197B53"/>
    <w:rsid w:val="001A01A4"/>
    <w:rsid w:val="001A0733"/>
    <w:rsid w:val="001A07D2"/>
    <w:rsid w:val="001A095B"/>
    <w:rsid w:val="001A1445"/>
    <w:rsid w:val="001A14DC"/>
    <w:rsid w:val="001A180D"/>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57"/>
    <w:rsid w:val="001A754B"/>
    <w:rsid w:val="001A7763"/>
    <w:rsid w:val="001A79E9"/>
    <w:rsid w:val="001A7A53"/>
    <w:rsid w:val="001A7B99"/>
    <w:rsid w:val="001A7DC2"/>
    <w:rsid w:val="001A7FD6"/>
    <w:rsid w:val="001B01F4"/>
    <w:rsid w:val="001B087B"/>
    <w:rsid w:val="001B087D"/>
    <w:rsid w:val="001B0D51"/>
    <w:rsid w:val="001B0F49"/>
    <w:rsid w:val="001B1373"/>
    <w:rsid w:val="001B1492"/>
    <w:rsid w:val="001B153B"/>
    <w:rsid w:val="001B166B"/>
    <w:rsid w:val="001B16B9"/>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C88"/>
    <w:rsid w:val="001D5D67"/>
    <w:rsid w:val="001D6431"/>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CE0"/>
    <w:rsid w:val="001E2F0B"/>
    <w:rsid w:val="001E331A"/>
    <w:rsid w:val="001E33EF"/>
    <w:rsid w:val="001E36E4"/>
    <w:rsid w:val="001E379D"/>
    <w:rsid w:val="001E3977"/>
    <w:rsid w:val="001E3A3C"/>
    <w:rsid w:val="001E41F0"/>
    <w:rsid w:val="001E4649"/>
    <w:rsid w:val="001E483B"/>
    <w:rsid w:val="001E4A9A"/>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28C"/>
    <w:rsid w:val="0020135E"/>
    <w:rsid w:val="00201464"/>
    <w:rsid w:val="0020160E"/>
    <w:rsid w:val="002019D8"/>
    <w:rsid w:val="00201B72"/>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BAD"/>
    <w:rsid w:val="00204D60"/>
    <w:rsid w:val="002050DC"/>
    <w:rsid w:val="00205627"/>
    <w:rsid w:val="002056D0"/>
    <w:rsid w:val="002057ED"/>
    <w:rsid w:val="002058BE"/>
    <w:rsid w:val="00205C2A"/>
    <w:rsid w:val="0020600F"/>
    <w:rsid w:val="00206404"/>
    <w:rsid w:val="00206EC7"/>
    <w:rsid w:val="002070BD"/>
    <w:rsid w:val="002070FB"/>
    <w:rsid w:val="00207399"/>
    <w:rsid w:val="00207479"/>
    <w:rsid w:val="00207ABC"/>
    <w:rsid w:val="00207C1C"/>
    <w:rsid w:val="00207C6A"/>
    <w:rsid w:val="00207CC4"/>
    <w:rsid w:val="00207EDF"/>
    <w:rsid w:val="00210088"/>
    <w:rsid w:val="002106B3"/>
    <w:rsid w:val="002107DE"/>
    <w:rsid w:val="00210860"/>
    <w:rsid w:val="00210A84"/>
    <w:rsid w:val="00210B6A"/>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8CA"/>
    <w:rsid w:val="00227A11"/>
    <w:rsid w:val="00227CA0"/>
    <w:rsid w:val="002304E0"/>
    <w:rsid w:val="00231021"/>
    <w:rsid w:val="00231294"/>
    <w:rsid w:val="0023145F"/>
    <w:rsid w:val="00231573"/>
    <w:rsid w:val="00231587"/>
    <w:rsid w:val="002317AD"/>
    <w:rsid w:val="00231C25"/>
    <w:rsid w:val="00231C53"/>
    <w:rsid w:val="00231C6F"/>
    <w:rsid w:val="00231E32"/>
    <w:rsid w:val="00231EC5"/>
    <w:rsid w:val="00231F46"/>
    <w:rsid w:val="0023223F"/>
    <w:rsid w:val="00232633"/>
    <w:rsid w:val="00232A90"/>
    <w:rsid w:val="00232F71"/>
    <w:rsid w:val="00233157"/>
    <w:rsid w:val="002332D3"/>
    <w:rsid w:val="00233717"/>
    <w:rsid w:val="00233A6B"/>
    <w:rsid w:val="00233FC4"/>
    <w:rsid w:val="00234151"/>
    <w:rsid w:val="00234556"/>
    <w:rsid w:val="0023458A"/>
    <w:rsid w:val="002345F9"/>
    <w:rsid w:val="00234925"/>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94F"/>
    <w:rsid w:val="00250AA9"/>
    <w:rsid w:val="00250B73"/>
    <w:rsid w:val="00251055"/>
    <w:rsid w:val="002510F9"/>
    <w:rsid w:val="0025149C"/>
    <w:rsid w:val="002516DE"/>
    <w:rsid w:val="00251F07"/>
    <w:rsid w:val="00251F81"/>
    <w:rsid w:val="00252BE0"/>
    <w:rsid w:val="00252CDC"/>
    <w:rsid w:val="00253136"/>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7A6"/>
    <w:rsid w:val="00263808"/>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E42"/>
    <w:rsid w:val="00283F57"/>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A7"/>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A3C"/>
    <w:rsid w:val="002C2C62"/>
    <w:rsid w:val="002C2F40"/>
    <w:rsid w:val="002C2FCA"/>
    <w:rsid w:val="002C33F9"/>
    <w:rsid w:val="002C345E"/>
    <w:rsid w:val="002C3800"/>
    <w:rsid w:val="002C382F"/>
    <w:rsid w:val="002C38B2"/>
    <w:rsid w:val="002C3F9C"/>
    <w:rsid w:val="002C40DE"/>
    <w:rsid w:val="002C46F5"/>
    <w:rsid w:val="002C4D41"/>
    <w:rsid w:val="002C4D90"/>
    <w:rsid w:val="002C545E"/>
    <w:rsid w:val="002C5500"/>
    <w:rsid w:val="002C5841"/>
    <w:rsid w:val="002C5A6F"/>
    <w:rsid w:val="002C5AFA"/>
    <w:rsid w:val="002C5D31"/>
    <w:rsid w:val="002C6014"/>
    <w:rsid w:val="002C62CF"/>
    <w:rsid w:val="002C6605"/>
    <w:rsid w:val="002C6703"/>
    <w:rsid w:val="002C684B"/>
    <w:rsid w:val="002C73DE"/>
    <w:rsid w:val="002C7544"/>
    <w:rsid w:val="002D0439"/>
    <w:rsid w:val="002D055B"/>
    <w:rsid w:val="002D0759"/>
    <w:rsid w:val="002D083D"/>
    <w:rsid w:val="002D086A"/>
    <w:rsid w:val="002D09C9"/>
    <w:rsid w:val="002D0A0A"/>
    <w:rsid w:val="002D0AC2"/>
    <w:rsid w:val="002D0E90"/>
    <w:rsid w:val="002D0FB3"/>
    <w:rsid w:val="002D1092"/>
    <w:rsid w:val="002D11B7"/>
    <w:rsid w:val="002D12AE"/>
    <w:rsid w:val="002D12CA"/>
    <w:rsid w:val="002D173D"/>
    <w:rsid w:val="002D1DD6"/>
    <w:rsid w:val="002D2258"/>
    <w:rsid w:val="002D2962"/>
    <w:rsid w:val="002D2D59"/>
    <w:rsid w:val="002D3245"/>
    <w:rsid w:val="002D33B6"/>
    <w:rsid w:val="002D3692"/>
    <w:rsid w:val="002D3A43"/>
    <w:rsid w:val="002D3B89"/>
    <w:rsid w:val="002D3BBC"/>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C9E"/>
    <w:rsid w:val="002E1DBE"/>
    <w:rsid w:val="002E1E0B"/>
    <w:rsid w:val="002E2502"/>
    <w:rsid w:val="002E257B"/>
    <w:rsid w:val="002E25D4"/>
    <w:rsid w:val="002E2C82"/>
    <w:rsid w:val="002E2D7D"/>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7212"/>
    <w:rsid w:val="002E7351"/>
    <w:rsid w:val="002E7404"/>
    <w:rsid w:val="002E7690"/>
    <w:rsid w:val="002E79A9"/>
    <w:rsid w:val="002E7A8A"/>
    <w:rsid w:val="002E7B70"/>
    <w:rsid w:val="002E7E22"/>
    <w:rsid w:val="002E7EFA"/>
    <w:rsid w:val="002F02E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38A0"/>
    <w:rsid w:val="00304180"/>
    <w:rsid w:val="0030448C"/>
    <w:rsid w:val="0030474C"/>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3B66"/>
    <w:rsid w:val="00334150"/>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4007"/>
    <w:rsid w:val="0034429B"/>
    <w:rsid w:val="00344443"/>
    <w:rsid w:val="0034468E"/>
    <w:rsid w:val="003446ED"/>
    <w:rsid w:val="0034477D"/>
    <w:rsid w:val="00344866"/>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322"/>
    <w:rsid w:val="00373679"/>
    <w:rsid w:val="003738E1"/>
    <w:rsid w:val="00373ABB"/>
    <w:rsid w:val="00373C75"/>
    <w:rsid w:val="00373DBA"/>
    <w:rsid w:val="00374059"/>
    <w:rsid w:val="003741A9"/>
    <w:rsid w:val="003749C4"/>
    <w:rsid w:val="00374B14"/>
    <w:rsid w:val="0037535B"/>
    <w:rsid w:val="003754A1"/>
    <w:rsid w:val="0037552D"/>
    <w:rsid w:val="003756DB"/>
    <w:rsid w:val="00375BE3"/>
    <w:rsid w:val="00375D5F"/>
    <w:rsid w:val="00375E68"/>
    <w:rsid w:val="00375F44"/>
    <w:rsid w:val="00375F6C"/>
    <w:rsid w:val="0037643C"/>
    <w:rsid w:val="0037665D"/>
    <w:rsid w:val="003766B8"/>
    <w:rsid w:val="003766FC"/>
    <w:rsid w:val="00376EAA"/>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CA"/>
    <w:rsid w:val="00382229"/>
    <w:rsid w:val="00382261"/>
    <w:rsid w:val="003824C9"/>
    <w:rsid w:val="0038294F"/>
    <w:rsid w:val="00382A43"/>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B05"/>
    <w:rsid w:val="00385DED"/>
    <w:rsid w:val="00385DFF"/>
    <w:rsid w:val="003862F4"/>
    <w:rsid w:val="00386382"/>
    <w:rsid w:val="003865EF"/>
    <w:rsid w:val="00386637"/>
    <w:rsid w:val="00386827"/>
    <w:rsid w:val="00386BA9"/>
    <w:rsid w:val="00386F76"/>
    <w:rsid w:val="00386FFB"/>
    <w:rsid w:val="0038734D"/>
    <w:rsid w:val="00387F8C"/>
    <w:rsid w:val="00390017"/>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3E7"/>
    <w:rsid w:val="003925F0"/>
    <w:rsid w:val="00392AD2"/>
    <w:rsid w:val="00392CE0"/>
    <w:rsid w:val="00392F33"/>
    <w:rsid w:val="0039311C"/>
    <w:rsid w:val="00393400"/>
    <w:rsid w:val="003936A2"/>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40B4"/>
    <w:rsid w:val="003A4252"/>
    <w:rsid w:val="003A4661"/>
    <w:rsid w:val="003A4E43"/>
    <w:rsid w:val="003A549B"/>
    <w:rsid w:val="003A5C01"/>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C92"/>
    <w:rsid w:val="003B224E"/>
    <w:rsid w:val="003B2494"/>
    <w:rsid w:val="003B26B8"/>
    <w:rsid w:val="003B2841"/>
    <w:rsid w:val="003B2F53"/>
    <w:rsid w:val="003B3486"/>
    <w:rsid w:val="003B3575"/>
    <w:rsid w:val="003B36B2"/>
    <w:rsid w:val="003B3B2F"/>
    <w:rsid w:val="003B404F"/>
    <w:rsid w:val="003B40D2"/>
    <w:rsid w:val="003B429E"/>
    <w:rsid w:val="003B4351"/>
    <w:rsid w:val="003B4A46"/>
    <w:rsid w:val="003B4FB0"/>
    <w:rsid w:val="003B50BC"/>
    <w:rsid w:val="003B515A"/>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AD1"/>
    <w:rsid w:val="003D1B12"/>
    <w:rsid w:val="003D1C6B"/>
    <w:rsid w:val="003D1CF1"/>
    <w:rsid w:val="003D1F8F"/>
    <w:rsid w:val="003D212D"/>
    <w:rsid w:val="003D2493"/>
    <w:rsid w:val="003D2C1D"/>
    <w:rsid w:val="003D2C34"/>
    <w:rsid w:val="003D2CCB"/>
    <w:rsid w:val="003D309F"/>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47F"/>
    <w:rsid w:val="003D6508"/>
    <w:rsid w:val="003D6525"/>
    <w:rsid w:val="003D66D2"/>
    <w:rsid w:val="003D67F2"/>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2097"/>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53A2"/>
    <w:rsid w:val="003E568F"/>
    <w:rsid w:val="003E57E1"/>
    <w:rsid w:val="003E58F1"/>
    <w:rsid w:val="003E5A35"/>
    <w:rsid w:val="003E5D4F"/>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5F70"/>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AA7"/>
    <w:rsid w:val="00421DCF"/>
    <w:rsid w:val="004220FF"/>
    <w:rsid w:val="00422341"/>
    <w:rsid w:val="0042259F"/>
    <w:rsid w:val="00422ADB"/>
    <w:rsid w:val="00422F7B"/>
    <w:rsid w:val="0042331A"/>
    <w:rsid w:val="00423641"/>
    <w:rsid w:val="00423B26"/>
    <w:rsid w:val="00423B7E"/>
    <w:rsid w:val="00423F1E"/>
    <w:rsid w:val="00423F27"/>
    <w:rsid w:val="00423FE9"/>
    <w:rsid w:val="00424372"/>
    <w:rsid w:val="00424640"/>
    <w:rsid w:val="004249F4"/>
    <w:rsid w:val="00424CD9"/>
    <w:rsid w:val="00424E53"/>
    <w:rsid w:val="00424EA8"/>
    <w:rsid w:val="00425269"/>
    <w:rsid w:val="0042545A"/>
    <w:rsid w:val="00425781"/>
    <w:rsid w:val="004259E7"/>
    <w:rsid w:val="00425BE2"/>
    <w:rsid w:val="00425DA7"/>
    <w:rsid w:val="00426056"/>
    <w:rsid w:val="004261C8"/>
    <w:rsid w:val="00426266"/>
    <w:rsid w:val="0042637E"/>
    <w:rsid w:val="004268E8"/>
    <w:rsid w:val="00426EBE"/>
    <w:rsid w:val="00426F10"/>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F2F"/>
    <w:rsid w:val="00467FD8"/>
    <w:rsid w:val="00467FF3"/>
    <w:rsid w:val="0047083E"/>
    <w:rsid w:val="00470EB5"/>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EE7"/>
    <w:rsid w:val="004A7092"/>
    <w:rsid w:val="004A71F0"/>
    <w:rsid w:val="004A778A"/>
    <w:rsid w:val="004A7DAF"/>
    <w:rsid w:val="004B059B"/>
    <w:rsid w:val="004B0619"/>
    <w:rsid w:val="004B0BD4"/>
    <w:rsid w:val="004B0C87"/>
    <w:rsid w:val="004B1176"/>
    <w:rsid w:val="004B179A"/>
    <w:rsid w:val="004B1A09"/>
    <w:rsid w:val="004B1BFF"/>
    <w:rsid w:val="004B2178"/>
    <w:rsid w:val="004B2435"/>
    <w:rsid w:val="004B276F"/>
    <w:rsid w:val="004B27F2"/>
    <w:rsid w:val="004B2A79"/>
    <w:rsid w:val="004B2A8D"/>
    <w:rsid w:val="004B2DD1"/>
    <w:rsid w:val="004B407B"/>
    <w:rsid w:val="004B411E"/>
    <w:rsid w:val="004B41EC"/>
    <w:rsid w:val="004B49E6"/>
    <w:rsid w:val="004B4D6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8F"/>
    <w:rsid w:val="004C1250"/>
    <w:rsid w:val="004C144B"/>
    <w:rsid w:val="004C149C"/>
    <w:rsid w:val="004C1840"/>
    <w:rsid w:val="004C1F04"/>
    <w:rsid w:val="004C203A"/>
    <w:rsid w:val="004C218D"/>
    <w:rsid w:val="004C24C9"/>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6CE"/>
    <w:rsid w:val="004D077F"/>
    <w:rsid w:val="004D088E"/>
    <w:rsid w:val="004D0DB9"/>
    <w:rsid w:val="004D0DFE"/>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33E"/>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300"/>
    <w:rsid w:val="004E27A1"/>
    <w:rsid w:val="004E29C4"/>
    <w:rsid w:val="004E2C56"/>
    <w:rsid w:val="004E2D7D"/>
    <w:rsid w:val="004E2DDB"/>
    <w:rsid w:val="004E2DE0"/>
    <w:rsid w:val="004E3076"/>
    <w:rsid w:val="004E32E7"/>
    <w:rsid w:val="004E3920"/>
    <w:rsid w:val="004E3E38"/>
    <w:rsid w:val="004E4060"/>
    <w:rsid w:val="004E409A"/>
    <w:rsid w:val="004E49DB"/>
    <w:rsid w:val="004E4B93"/>
    <w:rsid w:val="004E4C8C"/>
    <w:rsid w:val="004E632E"/>
    <w:rsid w:val="004E6459"/>
    <w:rsid w:val="004E651F"/>
    <w:rsid w:val="004E6D71"/>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FBC"/>
    <w:rsid w:val="004F62CE"/>
    <w:rsid w:val="004F6490"/>
    <w:rsid w:val="004F688A"/>
    <w:rsid w:val="004F697C"/>
    <w:rsid w:val="004F6C8F"/>
    <w:rsid w:val="004F6ED7"/>
    <w:rsid w:val="004F71F9"/>
    <w:rsid w:val="004F7528"/>
    <w:rsid w:val="004F7BCA"/>
    <w:rsid w:val="004F7D89"/>
    <w:rsid w:val="0050022A"/>
    <w:rsid w:val="005003A1"/>
    <w:rsid w:val="005003A6"/>
    <w:rsid w:val="00500763"/>
    <w:rsid w:val="00500D9A"/>
    <w:rsid w:val="005010E9"/>
    <w:rsid w:val="005011D7"/>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3DE5"/>
    <w:rsid w:val="00534A9E"/>
    <w:rsid w:val="0053546C"/>
    <w:rsid w:val="005355D4"/>
    <w:rsid w:val="0053584A"/>
    <w:rsid w:val="00535A0B"/>
    <w:rsid w:val="00535B79"/>
    <w:rsid w:val="00535CB3"/>
    <w:rsid w:val="00535D3A"/>
    <w:rsid w:val="00535D7C"/>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ABD"/>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410"/>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7A0"/>
    <w:rsid w:val="00554BE7"/>
    <w:rsid w:val="0055539B"/>
    <w:rsid w:val="00555699"/>
    <w:rsid w:val="00555A13"/>
    <w:rsid w:val="00555AE8"/>
    <w:rsid w:val="00555FBA"/>
    <w:rsid w:val="00556976"/>
    <w:rsid w:val="00556BFE"/>
    <w:rsid w:val="00556D68"/>
    <w:rsid w:val="00556EC4"/>
    <w:rsid w:val="00556FD5"/>
    <w:rsid w:val="00557119"/>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F4"/>
    <w:rsid w:val="00562C68"/>
    <w:rsid w:val="00562CE2"/>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168"/>
    <w:rsid w:val="005717F5"/>
    <w:rsid w:val="00571BFE"/>
    <w:rsid w:val="00571FCC"/>
    <w:rsid w:val="00572372"/>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A77"/>
    <w:rsid w:val="00576D6C"/>
    <w:rsid w:val="00576E2E"/>
    <w:rsid w:val="005777CA"/>
    <w:rsid w:val="00577A2E"/>
    <w:rsid w:val="00577A7D"/>
    <w:rsid w:val="00577EC0"/>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1BF"/>
    <w:rsid w:val="0059240E"/>
    <w:rsid w:val="00592712"/>
    <w:rsid w:val="005927B9"/>
    <w:rsid w:val="00592B03"/>
    <w:rsid w:val="0059307A"/>
    <w:rsid w:val="00593917"/>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A1E"/>
    <w:rsid w:val="005B0E64"/>
    <w:rsid w:val="005B0F40"/>
    <w:rsid w:val="005B1267"/>
    <w:rsid w:val="005B15F2"/>
    <w:rsid w:val="005B1620"/>
    <w:rsid w:val="005B200C"/>
    <w:rsid w:val="005B21D7"/>
    <w:rsid w:val="005B2225"/>
    <w:rsid w:val="005B2738"/>
    <w:rsid w:val="005B2782"/>
    <w:rsid w:val="005B2799"/>
    <w:rsid w:val="005B2839"/>
    <w:rsid w:val="005B2B77"/>
    <w:rsid w:val="005B31DA"/>
    <w:rsid w:val="005B33A1"/>
    <w:rsid w:val="005B36E9"/>
    <w:rsid w:val="005B3D4A"/>
    <w:rsid w:val="005B3E28"/>
    <w:rsid w:val="005B45C7"/>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6F"/>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8E2"/>
    <w:rsid w:val="005D4EFA"/>
    <w:rsid w:val="005D55BA"/>
    <w:rsid w:val="005D55C7"/>
    <w:rsid w:val="005D58AD"/>
    <w:rsid w:val="005D5ADB"/>
    <w:rsid w:val="005D5DB7"/>
    <w:rsid w:val="005D6073"/>
    <w:rsid w:val="005D6272"/>
    <w:rsid w:val="005D6426"/>
    <w:rsid w:val="005D648A"/>
    <w:rsid w:val="005D6655"/>
    <w:rsid w:val="005D67EE"/>
    <w:rsid w:val="005D6AA9"/>
    <w:rsid w:val="005D6F51"/>
    <w:rsid w:val="005D6FE5"/>
    <w:rsid w:val="005D748A"/>
    <w:rsid w:val="005D74AF"/>
    <w:rsid w:val="005D74BF"/>
    <w:rsid w:val="005D7708"/>
    <w:rsid w:val="005D77C9"/>
    <w:rsid w:val="005D7825"/>
    <w:rsid w:val="005D7E0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51"/>
    <w:rsid w:val="005E53F9"/>
    <w:rsid w:val="005E5AEF"/>
    <w:rsid w:val="005E5E71"/>
    <w:rsid w:val="005E63B7"/>
    <w:rsid w:val="005E661D"/>
    <w:rsid w:val="005E66DA"/>
    <w:rsid w:val="005E6E27"/>
    <w:rsid w:val="005E6E2B"/>
    <w:rsid w:val="005E72EB"/>
    <w:rsid w:val="005E7748"/>
    <w:rsid w:val="005E775D"/>
    <w:rsid w:val="005E7A1F"/>
    <w:rsid w:val="005E7D52"/>
    <w:rsid w:val="005F05E5"/>
    <w:rsid w:val="005F07FB"/>
    <w:rsid w:val="005F08A8"/>
    <w:rsid w:val="005F0A43"/>
    <w:rsid w:val="005F0A6C"/>
    <w:rsid w:val="005F1591"/>
    <w:rsid w:val="005F17F6"/>
    <w:rsid w:val="005F22ED"/>
    <w:rsid w:val="005F24EC"/>
    <w:rsid w:val="005F2534"/>
    <w:rsid w:val="005F27A6"/>
    <w:rsid w:val="005F27BF"/>
    <w:rsid w:val="005F29F0"/>
    <w:rsid w:val="005F2BC8"/>
    <w:rsid w:val="005F3199"/>
    <w:rsid w:val="005F338E"/>
    <w:rsid w:val="005F3585"/>
    <w:rsid w:val="005F3D2A"/>
    <w:rsid w:val="005F3DAB"/>
    <w:rsid w:val="005F4171"/>
    <w:rsid w:val="005F4360"/>
    <w:rsid w:val="005F436A"/>
    <w:rsid w:val="005F46BF"/>
    <w:rsid w:val="005F46D6"/>
    <w:rsid w:val="005F493E"/>
    <w:rsid w:val="005F4C0F"/>
    <w:rsid w:val="005F4C74"/>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487"/>
    <w:rsid w:val="005F7589"/>
    <w:rsid w:val="005F767F"/>
    <w:rsid w:val="005F76A5"/>
    <w:rsid w:val="005F78BB"/>
    <w:rsid w:val="005F7964"/>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5FD"/>
    <w:rsid w:val="006127E0"/>
    <w:rsid w:val="00612808"/>
    <w:rsid w:val="006129DD"/>
    <w:rsid w:val="006130F7"/>
    <w:rsid w:val="00613243"/>
    <w:rsid w:val="006138B2"/>
    <w:rsid w:val="00613AF8"/>
    <w:rsid w:val="00613C73"/>
    <w:rsid w:val="00613D8E"/>
    <w:rsid w:val="00613F60"/>
    <w:rsid w:val="006142E0"/>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DC5"/>
    <w:rsid w:val="00630DCE"/>
    <w:rsid w:val="006311F1"/>
    <w:rsid w:val="0063120A"/>
    <w:rsid w:val="0063129C"/>
    <w:rsid w:val="00631497"/>
    <w:rsid w:val="006314D3"/>
    <w:rsid w:val="0063150B"/>
    <w:rsid w:val="00631585"/>
    <w:rsid w:val="0063169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76"/>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75C"/>
    <w:rsid w:val="0065777E"/>
    <w:rsid w:val="00657E31"/>
    <w:rsid w:val="0066001B"/>
    <w:rsid w:val="006608AB"/>
    <w:rsid w:val="006608F8"/>
    <w:rsid w:val="00660DA9"/>
    <w:rsid w:val="00660FF3"/>
    <w:rsid w:val="00661268"/>
    <w:rsid w:val="00661594"/>
    <w:rsid w:val="006616DC"/>
    <w:rsid w:val="00661792"/>
    <w:rsid w:val="006618CC"/>
    <w:rsid w:val="006619E3"/>
    <w:rsid w:val="00661F5B"/>
    <w:rsid w:val="0066210B"/>
    <w:rsid w:val="00662111"/>
    <w:rsid w:val="00662118"/>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4A8"/>
    <w:rsid w:val="00666880"/>
    <w:rsid w:val="006668F0"/>
    <w:rsid w:val="00666CC4"/>
    <w:rsid w:val="00667149"/>
    <w:rsid w:val="0066732C"/>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97E"/>
    <w:rsid w:val="00676F29"/>
    <w:rsid w:val="00677443"/>
    <w:rsid w:val="00677572"/>
    <w:rsid w:val="0067769A"/>
    <w:rsid w:val="006776EE"/>
    <w:rsid w:val="006777D8"/>
    <w:rsid w:val="00677B5B"/>
    <w:rsid w:val="00680339"/>
    <w:rsid w:val="006803E0"/>
    <w:rsid w:val="0068056A"/>
    <w:rsid w:val="006806A3"/>
    <w:rsid w:val="006806A6"/>
    <w:rsid w:val="00680707"/>
    <w:rsid w:val="00680741"/>
    <w:rsid w:val="00680B34"/>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D7D"/>
    <w:rsid w:val="006A1078"/>
    <w:rsid w:val="006A10F2"/>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397"/>
    <w:rsid w:val="006A4654"/>
    <w:rsid w:val="006A494C"/>
    <w:rsid w:val="006A4963"/>
    <w:rsid w:val="006A4976"/>
    <w:rsid w:val="006A4B01"/>
    <w:rsid w:val="006A50B0"/>
    <w:rsid w:val="006A5403"/>
    <w:rsid w:val="006A557D"/>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3C1"/>
    <w:rsid w:val="006C141C"/>
    <w:rsid w:val="006C143A"/>
    <w:rsid w:val="006C1B02"/>
    <w:rsid w:val="006C1C65"/>
    <w:rsid w:val="006C2BB5"/>
    <w:rsid w:val="006C2BEE"/>
    <w:rsid w:val="006C2C6A"/>
    <w:rsid w:val="006C35BC"/>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F84"/>
    <w:rsid w:val="006D62BC"/>
    <w:rsid w:val="006D63FE"/>
    <w:rsid w:val="006D6450"/>
    <w:rsid w:val="006D6790"/>
    <w:rsid w:val="006D6939"/>
    <w:rsid w:val="006D6A04"/>
    <w:rsid w:val="006D71A9"/>
    <w:rsid w:val="006D7444"/>
    <w:rsid w:val="006D745A"/>
    <w:rsid w:val="006D74D1"/>
    <w:rsid w:val="006D7CFF"/>
    <w:rsid w:val="006D7D88"/>
    <w:rsid w:val="006D7EB0"/>
    <w:rsid w:val="006E012E"/>
    <w:rsid w:val="006E0138"/>
    <w:rsid w:val="006E0BA7"/>
    <w:rsid w:val="006E0BB0"/>
    <w:rsid w:val="006E0C64"/>
    <w:rsid w:val="006E0DB6"/>
    <w:rsid w:val="006E10AF"/>
    <w:rsid w:val="006E12C3"/>
    <w:rsid w:val="006E159D"/>
    <w:rsid w:val="006E15C4"/>
    <w:rsid w:val="006E18B4"/>
    <w:rsid w:val="006E1976"/>
    <w:rsid w:val="006E1FE5"/>
    <w:rsid w:val="006E22D3"/>
    <w:rsid w:val="006E22DC"/>
    <w:rsid w:val="006E2529"/>
    <w:rsid w:val="006E2666"/>
    <w:rsid w:val="006E2748"/>
    <w:rsid w:val="006E28A7"/>
    <w:rsid w:val="006E2EDB"/>
    <w:rsid w:val="006E2F79"/>
    <w:rsid w:val="006E3417"/>
    <w:rsid w:val="006E3DA9"/>
    <w:rsid w:val="006E45F3"/>
    <w:rsid w:val="006E461A"/>
    <w:rsid w:val="006E4A2F"/>
    <w:rsid w:val="006E4C48"/>
    <w:rsid w:val="006E4ED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55B"/>
    <w:rsid w:val="006F676B"/>
    <w:rsid w:val="006F6850"/>
    <w:rsid w:val="006F6CB7"/>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54"/>
    <w:rsid w:val="00701FA6"/>
    <w:rsid w:val="007020FF"/>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26A9"/>
    <w:rsid w:val="007126AC"/>
    <w:rsid w:val="00712B8D"/>
    <w:rsid w:val="00712C42"/>
    <w:rsid w:val="007131DC"/>
    <w:rsid w:val="007133CE"/>
    <w:rsid w:val="007134DE"/>
    <w:rsid w:val="0071395D"/>
    <w:rsid w:val="00713DE4"/>
    <w:rsid w:val="00713E3C"/>
    <w:rsid w:val="00714270"/>
    <w:rsid w:val="00714471"/>
    <w:rsid w:val="00714A93"/>
    <w:rsid w:val="00714C47"/>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AB1"/>
    <w:rsid w:val="00725D82"/>
    <w:rsid w:val="00726036"/>
    <w:rsid w:val="00726279"/>
    <w:rsid w:val="00726331"/>
    <w:rsid w:val="00726A9B"/>
    <w:rsid w:val="00726EBC"/>
    <w:rsid w:val="00727281"/>
    <w:rsid w:val="00727530"/>
    <w:rsid w:val="007275AA"/>
    <w:rsid w:val="007303DF"/>
    <w:rsid w:val="007306A2"/>
    <w:rsid w:val="007306BD"/>
    <w:rsid w:val="007308DA"/>
    <w:rsid w:val="00730E67"/>
    <w:rsid w:val="00730E92"/>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5D"/>
    <w:rsid w:val="0073327A"/>
    <w:rsid w:val="007334C3"/>
    <w:rsid w:val="007339C5"/>
    <w:rsid w:val="00733C9D"/>
    <w:rsid w:val="007341EC"/>
    <w:rsid w:val="0073468C"/>
    <w:rsid w:val="00734B20"/>
    <w:rsid w:val="00734EBE"/>
    <w:rsid w:val="0073510F"/>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A2A"/>
    <w:rsid w:val="00737FAC"/>
    <w:rsid w:val="00740442"/>
    <w:rsid w:val="0074076A"/>
    <w:rsid w:val="00740E4F"/>
    <w:rsid w:val="00740F79"/>
    <w:rsid w:val="00741134"/>
    <w:rsid w:val="0074150C"/>
    <w:rsid w:val="00741A2D"/>
    <w:rsid w:val="00741AF4"/>
    <w:rsid w:val="00741C16"/>
    <w:rsid w:val="00741DCC"/>
    <w:rsid w:val="00741DD5"/>
    <w:rsid w:val="00741F70"/>
    <w:rsid w:val="0074203A"/>
    <w:rsid w:val="00742068"/>
    <w:rsid w:val="00742416"/>
    <w:rsid w:val="007427B5"/>
    <w:rsid w:val="00742865"/>
    <w:rsid w:val="007428AD"/>
    <w:rsid w:val="0074296C"/>
    <w:rsid w:val="00742A38"/>
    <w:rsid w:val="00742B7D"/>
    <w:rsid w:val="00742BDF"/>
    <w:rsid w:val="00742C83"/>
    <w:rsid w:val="00742D71"/>
    <w:rsid w:val="00742E72"/>
    <w:rsid w:val="0074360F"/>
    <w:rsid w:val="00743818"/>
    <w:rsid w:val="007439A4"/>
    <w:rsid w:val="00744048"/>
    <w:rsid w:val="00744248"/>
    <w:rsid w:val="00744473"/>
    <w:rsid w:val="00744632"/>
    <w:rsid w:val="0074469D"/>
    <w:rsid w:val="00744A64"/>
    <w:rsid w:val="00744D21"/>
    <w:rsid w:val="00744D47"/>
    <w:rsid w:val="00744EA0"/>
    <w:rsid w:val="007450A5"/>
    <w:rsid w:val="00745280"/>
    <w:rsid w:val="00745343"/>
    <w:rsid w:val="007456EF"/>
    <w:rsid w:val="007457B4"/>
    <w:rsid w:val="00745F2B"/>
    <w:rsid w:val="0074638D"/>
    <w:rsid w:val="00746426"/>
    <w:rsid w:val="00746484"/>
    <w:rsid w:val="007464DB"/>
    <w:rsid w:val="0074682A"/>
    <w:rsid w:val="00746D22"/>
    <w:rsid w:val="00746E2B"/>
    <w:rsid w:val="0074704F"/>
    <w:rsid w:val="00747516"/>
    <w:rsid w:val="007475AE"/>
    <w:rsid w:val="007476D6"/>
    <w:rsid w:val="007479D1"/>
    <w:rsid w:val="00747BAD"/>
    <w:rsid w:val="00747D7C"/>
    <w:rsid w:val="00747EEC"/>
    <w:rsid w:val="00747F48"/>
    <w:rsid w:val="00747F4C"/>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958"/>
    <w:rsid w:val="00756B5D"/>
    <w:rsid w:val="00756B9F"/>
    <w:rsid w:val="007574FC"/>
    <w:rsid w:val="0075781F"/>
    <w:rsid w:val="0075790B"/>
    <w:rsid w:val="00757971"/>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A42"/>
    <w:rsid w:val="00767AA7"/>
    <w:rsid w:val="00767F1B"/>
    <w:rsid w:val="00770055"/>
    <w:rsid w:val="0077025C"/>
    <w:rsid w:val="00770494"/>
    <w:rsid w:val="00771021"/>
    <w:rsid w:val="0077150B"/>
    <w:rsid w:val="0077175C"/>
    <w:rsid w:val="00771870"/>
    <w:rsid w:val="0077187A"/>
    <w:rsid w:val="00771B46"/>
    <w:rsid w:val="00771BF9"/>
    <w:rsid w:val="00771D84"/>
    <w:rsid w:val="00772284"/>
    <w:rsid w:val="00772438"/>
    <w:rsid w:val="007725A7"/>
    <w:rsid w:val="00772635"/>
    <w:rsid w:val="00772A57"/>
    <w:rsid w:val="00772B58"/>
    <w:rsid w:val="00772DE8"/>
    <w:rsid w:val="00772F8A"/>
    <w:rsid w:val="007731FD"/>
    <w:rsid w:val="00773316"/>
    <w:rsid w:val="007739C6"/>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37B"/>
    <w:rsid w:val="00782644"/>
    <w:rsid w:val="00782789"/>
    <w:rsid w:val="0078285F"/>
    <w:rsid w:val="007829A0"/>
    <w:rsid w:val="00782A33"/>
    <w:rsid w:val="00782C05"/>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BC9"/>
    <w:rsid w:val="00786D72"/>
    <w:rsid w:val="00786E71"/>
    <w:rsid w:val="00786FFA"/>
    <w:rsid w:val="007875BB"/>
    <w:rsid w:val="00787E42"/>
    <w:rsid w:val="0079003F"/>
    <w:rsid w:val="0079016D"/>
    <w:rsid w:val="00790CC5"/>
    <w:rsid w:val="00790E4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95B"/>
    <w:rsid w:val="007A298F"/>
    <w:rsid w:val="007A2AA7"/>
    <w:rsid w:val="007A2FC3"/>
    <w:rsid w:val="007A3424"/>
    <w:rsid w:val="007A35EF"/>
    <w:rsid w:val="007A3D65"/>
    <w:rsid w:val="007A3EB8"/>
    <w:rsid w:val="007A42C0"/>
    <w:rsid w:val="007A431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DFC"/>
    <w:rsid w:val="007A7E75"/>
    <w:rsid w:val="007A7EF5"/>
    <w:rsid w:val="007A7F6A"/>
    <w:rsid w:val="007B01FA"/>
    <w:rsid w:val="007B03AF"/>
    <w:rsid w:val="007B04BB"/>
    <w:rsid w:val="007B04E6"/>
    <w:rsid w:val="007B0F58"/>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A1B"/>
    <w:rsid w:val="007E1A88"/>
    <w:rsid w:val="007E228B"/>
    <w:rsid w:val="007E2291"/>
    <w:rsid w:val="007E2EB2"/>
    <w:rsid w:val="007E2FFF"/>
    <w:rsid w:val="007E30B9"/>
    <w:rsid w:val="007E324A"/>
    <w:rsid w:val="007E3294"/>
    <w:rsid w:val="007E3296"/>
    <w:rsid w:val="007E3396"/>
    <w:rsid w:val="007E3644"/>
    <w:rsid w:val="007E36EE"/>
    <w:rsid w:val="007E3912"/>
    <w:rsid w:val="007E409F"/>
    <w:rsid w:val="007E4504"/>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922"/>
    <w:rsid w:val="007F0C7D"/>
    <w:rsid w:val="007F0CE1"/>
    <w:rsid w:val="007F11C8"/>
    <w:rsid w:val="007F13F0"/>
    <w:rsid w:val="007F14C6"/>
    <w:rsid w:val="007F1A74"/>
    <w:rsid w:val="007F1CFB"/>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50E5"/>
    <w:rsid w:val="007F51B9"/>
    <w:rsid w:val="007F5224"/>
    <w:rsid w:val="007F5592"/>
    <w:rsid w:val="007F5B5D"/>
    <w:rsid w:val="007F5C7C"/>
    <w:rsid w:val="007F5D61"/>
    <w:rsid w:val="007F5E84"/>
    <w:rsid w:val="007F5EC1"/>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46B"/>
    <w:rsid w:val="008157E8"/>
    <w:rsid w:val="0081581D"/>
    <w:rsid w:val="00815B99"/>
    <w:rsid w:val="00816F50"/>
    <w:rsid w:val="00817192"/>
    <w:rsid w:val="008172BE"/>
    <w:rsid w:val="0081735F"/>
    <w:rsid w:val="008174DD"/>
    <w:rsid w:val="008177C3"/>
    <w:rsid w:val="00817B71"/>
    <w:rsid w:val="00817D32"/>
    <w:rsid w:val="00817D9A"/>
    <w:rsid w:val="00820184"/>
    <w:rsid w:val="00820244"/>
    <w:rsid w:val="00820F07"/>
    <w:rsid w:val="00821B8E"/>
    <w:rsid w:val="00821CF4"/>
    <w:rsid w:val="008221B3"/>
    <w:rsid w:val="0082229A"/>
    <w:rsid w:val="0082248E"/>
    <w:rsid w:val="00822508"/>
    <w:rsid w:val="00822565"/>
    <w:rsid w:val="0082281A"/>
    <w:rsid w:val="008228EA"/>
    <w:rsid w:val="00822E98"/>
    <w:rsid w:val="00823296"/>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C32"/>
    <w:rsid w:val="00833C56"/>
    <w:rsid w:val="00833E09"/>
    <w:rsid w:val="008349FA"/>
    <w:rsid w:val="00834BD2"/>
    <w:rsid w:val="00835410"/>
    <w:rsid w:val="008359E0"/>
    <w:rsid w:val="00835FE5"/>
    <w:rsid w:val="00836028"/>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A2A"/>
    <w:rsid w:val="00842B77"/>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24D2"/>
    <w:rsid w:val="00852916"/>
    <w:rsid w:val="0085299A"/>
    <w:rsid w:val="00852A57"/>
    <w:rsid w:val="00852D56"/>
    <w:rsid w:val="00852D63"/>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D76"/>
    <w:rsid w:val="008650FC"/>
    <w:rsid w:val="0086512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B62"/>
    <w:rsid w:val="00870D38"/>
    <w:rsid w:val="008712D2"/>
    <w:rsid w:val="008712F3"/>
    <w:rsid w:val="008712FD"/>
    <w:rsid w:val="00871389"/>
    <w:rsid w:val="008715DA"/>
    <w:rsid w:val="008716A1"/>
    <w:rsid w:val="00871DFA"/>
    <w:rsid w:val="00872301"/>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33E8"/>
    <w:rsid w:val="008838D5"/>
    <w:rsid w:val="00883CBF"/>
    <w:rsid w:val="00883D88"/>
    <w:rsid w:val="00883DAB"/>
    <w:rsid w:val="00883F6D"/>
    <w:rsid w:val="00884268"/>
    <w:rsid w:val="00884B2C"/>
    <w:rsid w:val="00884B5E"/>
    <w:rsid w:val="008852BA"/>
    <w:rsid w:val="008860AB"/>
    <w:rsid w:val="008861F4"/>
    <w:rsid w:val="008862F6"/>
    <w:rsid w:val="0088630B"/>
    <w:rsid w:val="0088678B"/>
    <w:rsid w:val="008869B7"/>
    <w:rsid w:val="00886A0C"/>
    <w:rsid w:val="00886C71"/>
    <w:rsid w:val="00886D95"/>
    <w:rsid w:val="00886FA8"/>
    <w:rsid w:val="00887472"/>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44E"/>
    <w:rsid w:val="008945CB"/>
    <w:rsid w:val="008946D8"/>
    <w:rsid w:val="0089473D"/>
    <w:rsid w:val="008949DF"/>
    <w:rsid w:val="00894C0A"/>
    <w:rsid w:val="00894E77"/>
    <w:rsid w:val="008950FE"/>
    <w:rsid w:val="008951DB"/>
    <w:rsid w:val="008952E6"/>
    <w:rsid w:val="00895865"/>
    <w:rsid w:val="00896322"/>
    <w:rsid w:val="00896735"/>
    <w:rsid w:val="00896936"/>
    <w:rsid w:val="00896C81"/>
    <w:rsid w:val="00896D83"/>
    <w:rsid w:val="008970BF"/>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2FE"/>
    <w:rsid w:val="008A1443"/>
    <w:rsid w:val="008A1B62"/>
    <w:rsid w:val="008A1BFC"/>
    <w:rsid w:val="008A1C18"/>
    <w:rsid w:val="008A1D92"/>
    <w:rsid w:val="008A1E2C"/>
    <w:rsid w:val="008A1EB5"/>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96"/>
    <w:rsid w:val="008A57ED"/>
    <w:rsid w:val="008A5940"/>
    <w:rsid w:val="008A5B54"/>
    <w:rsid w:val="008A5BA7"/>
    <w:rsid w:val="008A5D0A"/>
    <w:rsid w:val="008A6432"/>
    <w:rsid w:val="008A66D9"/>
    <w:rsid w:val="008A6A8A"/>
    <w:rsid w:val="008A6BA5"/>
    <w:rsid w:val="008A6C83"/>
    <w:rsid w:val="008A7123"/>
    <w:rsid w:val="008A73B2"/>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E2E"/>
    <w:rsid w:val="008C1F26"/>
    <w:rsid w:val="008C1FC6"/>
    <w:rsid w:val="008C2129"/>
    <w:rsid w:val="008C27A1"/>
    <w:rsid w:val="008C27C3"/>
    <w:rsid w:val="008C2A0A"/>
    <w:rsid w:val="008C2A3A"/>
    <w:rsid w:val="008C2BA5"/>
    <w:rsid w:val="008C3468"/>
    <w:rsid w:val="008C3C0D"/>
    <w:rsid w:val="008C3E4A"/>
    <w:rsid w:val="008C4312"/>
    <w:rsid w:val="008C4802"/>
    <w:rsid w:val="008C4924"/>
    <w:rsid w:val="008C4A1A"/>
    <w:rsid w:val="008C4C7E"/>
    <w:rsid w:val="008C4EE5"/>
    <w:rsid w:val="008C4EFB"/>
    <w:rsid w:val="008C5060"/>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4352"/>
    <w:rsid w:val="008D441A"/>
    <w:rsid w:val="008D4461"/>
    <w:rsid w:val="008D4825"/>
    <w:rsid w:val="008D4FDE"/>
    <w:rsid w:val="008D5155"/>
    <w:rsid w:val="008D518B"/>
    <w:rsid w:val="008D54E1"/>
    <w:rsid w:val="008D577D"/>
    <w:rsid w:val="008D5CDA"/>
    <w:rsid w:val="008D5DF0"/>
    <w:rsid w:val="008D5ED2"/>
    <w:rsid w:val="008D60BC"/>
    <w:rsid w:val="008D6C64"/>
    <w:rsid w:val="008D6CB4"/>
    <w:rsid w:val="008D6D7B"/>
    <w:rsid w:val="008D6DE6"/>
    <w:rsid w:val="008D717A"/>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514"/>
    <w:rsid w:val="008E4BC6"/>
    <w:rsid w:val="008E5034"/>
    <w:rsid w:val="008E5314"/>
    <w:rsid w:val="008E53DA"/>
    <w:rsid w:val="008E53EB"/>
    <w:rsid w:val="008E54FA"/>
    <w:rsid w:val="008E5BF2"/>
    <w:rsid w:val="008E5C81"/>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23D8"/>
    <w:rsid w:val="008F2C03"/>
    <w:rsid w:val="008F2E4B"/>
    <w:rsid w:val="008F2E66"/>
    <w:rsid w:val="008F2FD5"/>
    <w:rsid w:val="008F33E5"/>
    <w:rsid w:val="008F37E5"/>
    <w:rsid w:val="008F3C3E"/>
    <w:rsid w:val="008F44FC"/>
    <w:rsid w:val="008F4832"/>
    <w:rsid w:val="008F48C2"/>
    <w:rsid w:val="008F4A18"/>
    <w:rsid w:val="008F4B1B"/>
    <w:rsid w:val="008F4B39"/>
    <w:rsid w:val="008F4BFD"/>
    <w:rsid w:val="008F4FAD"/>
    <w:rsid w:val="008F5840"/>
    <w:rsid w:val="008F58F7"/>
    <w:rsid w:val="008F5A4C"/>
    <w:rsid w:val="008F5B93"/>
    <w:rsid w:val="008F5D7E"/>
    <w:rsid w:val="008F5EEF"/>
    <w:rsid w:val="008F60F1"/>
    <w:rsid w:val="008F66FE"/>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F9D"/>
    <w:rsid w:val="009013EE"/>
    <w:rsid w:val="0090172E"/>
    <w:rsid w:val="009017ED"/>
    <w:rsid w:val="00901AA8"/>
    <w:rsid w:val="00902016"/>
    <w:rsid w:val="009020FE"/>
    <w:rsid w:val="00902190"/>
    <w:rsid w:val="0090233E"/>
    <w:rsid w:val="00902420"/>
    <w:rsid w:val="00902C67"/>
    <w:rsid w:val="00902F98"/>
    <w:rsid w:val="0090325F"/>
    <w:rsid w:val="00903336"/>
    <w:rsid w:val="00903802"/>
    <w:rsid w:val="009044A6"/>
    <w:rsid w:val="00904587"/>
    <w:rsid w:val="00904735"/>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88D"/>
    <w:rsid w:val="00910F4E"/>
    <w:rsid w:val="00910FC9"/>
    <w:rsid w:val="00911472"/>
    <w:rsid w:val="009115B4"/>
    <w:rsid w:val="009118E0"/>
    <w:rsid w:val="00911D63"/>
    <w:rsid w:val="00911F64"/>
    <w:rsid w:val="0091238F"/>
    <w:rsid w:val="009126DA"/>
    <w:rsid w:val="00912772"/>
    <w:rsid w:val="0091291A"/>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D9E"/>
    <w:rsid w:val="00962E67"/>
    <w:rsid w:val="00963010"/>
    <w:rsid w:val="009631FE"/>
    <w:rsid w:val="00963639"/>
    <w:rsid w:val="0096383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FAC"/>
    <w:rsid w:val="00972292"/>
    <w:rsid w:val="00972423"/>
    <w:rsid w:val="009724EA"/>
    <w:rsid w:val="00972508"/>
    <w:rsid w:val="00972546"/>
    <w:rsid w:val="00972929"/>
    <w:rsid w:val="00972F91"/>
    <w:rsid w:val="00972FE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22D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1035"/>
    <w:rsid w:val="009A14EF"/>
    <w:rsid w:val="009A16C9"/>
    <w:rsid w:val="009A1FB3"/>
    <w:rsid w:val="009A290E"/>
    <w:rsid w:val="009A291A"/>
    <w:rsid w:val="009A2AAD"/>
    <w:rsid w:val="009A2D22"/>
    <w:rsid w:val="009A2DF9"/>
    <w:rsid w:val="009A2E39"/>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FCD"/>
    <w:rsid w:val="009D61B7"/>
    <w:rsid w:val="009D6245"/>
    <w:rsid w:val="009D6866"/>
    <w:rsid w:val="009D6A0A"/>
    <w:rsid w:val="009D6B37"/>
    <w:rsid w:val="009D6F69"/>
    <w:rsid w:val="009D6FD7"/>
    <w:rsid w:val="009D700F"/>
    <w:rsid w:val="009D7518"/>
    <w:rsid w:val="009D758D"/>
    <w:rsid w:val="009D7C57"/>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E8"/>
    <w:rsid w:val="00A175B6"/>
    <w:rsid w:val="00A1798C"/>
    <w:rsid w:val="00A179FF"/>
    <w:rsid w:val="00A17BE1"/>
    <w:rsid w:val="00A206C8"/>
    <w:rsid w:val="00A207C1"/>
    <w:rsid w:val="00A20BDB"/>
    <w:rsid w:val="00A21154"/>
    <w:rsid w:val="00A2142A"/>
    <w:rsid w:val="00A21A36"/>
    <w:rsid w:val="00A21C31"/>
    <w:rsid w:val="00A21C87"/>
    <w:rsid w:val="00A22090"/>
    <w:rsid w:val="00A226EC"/>
    <w:rsid w:val="00A2273A"/>
    <w:rsid w:val="00A22909"/>
    <w:rsid w:val="00A229AD"/>
    <w:rsid w:val="00A22DF7"/>
    <w:rsid w:val="00A22F8F"/>
    <w:rsid w:val="00A23859"/>
    <w:rsid w:val="00A23EED"/>
    <w:rsid w:val="00A2402C"/>
    <w:rsid w:val="00A242C3"/>
    <w:rsid w:val="00A245B9"/>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49"/>
    <w:rsid w:val="00A308BD"/>
    <w:rsid w:val="00A3095F"/>
    <w:rsid w:val="00A309C6"/>
    <w:rsid w:val="00A30BA7"/>
    <w:rsid w:val="00A30D13"/>
    <w:rsid w:val="00A3123D"/>
    <w:rsid w:val="00A3127C"/>
    <w:rsid w:val="00A31370"/>
    <w:rsid w:val="00A31594"/>
    <w:rsid w:val="00A316F3"/>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6BA"/>
    <w:rsid w:val="00A3488D"/>
    <w:rsid w:val="00A34C67"/>
    <w:rsid w:val="00A34D62"/>
    <w:rsid w:val="00A34DC6"/>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966"/>
    <w:rsid w:val="00A44B04"/>
    <w:rsid w:val="00A44C5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705"/>
    <w:rsid w:val="00A51AD7"/>
    <w:rsid w:val="00A5237B"/>
    <w:rsid w:val="00A52B58"/>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713"/>
    <w:rsid w:val="00A63BF3"/>
    <w:rsid w:val="00A641E4"/>
    <w:rsid w:val="00A64303"/>
    <w:rsid w:val="00A6453B"/>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241B"/>
    <w:rsid w:val="00A72434"/>
    <w:rsid w:val="00A72607"/>
    <w:rsid w:val="00A728F2"/>
    <w:rsid w:val="00A72A2D"/>
    <w:rsid w:val="00A72A6C"/>
    <w:rsid w:val="00A7308C"/>
    <w:rsid w:val="00A731B3"/>
    <w:rsid w:val="00A7333A"/>
    <w:rsid w:val="00A7368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3F6D"/>
    <w:rsid w:val="00A84130"/>
    <w:rsid w:val="00A84411"/>
    <w:rsid w:val="00A8443A"/>
    <w:rsid w:val="00A845D8"/>
    <w:rsid w:val="00A8479C"/>
    <w:rsid w:val="00A84E6F"/>
    <w:rsid w:val="00A8557B"/>
    <w:rsid w:val="00A856E8"/>
    <w:rsid w:val="00A857CF"/>
    <w:rsid w:val="00A85A05"/>
    <w:rsid w:val="00A85ED5"/>
    <w:rsid w:val="00A8617D"/>
    <w:rsid w:val="00A86365"/>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68"/>
    <w:rsid w:val="00AB48F1"/>
    <w:rsid w:val="00AB4921"/>
    <w:rsid w:val="00AB4BF4"/>
    <w:rsid w:val="00AB4C00"/>
    <w:rsid w:val="00AB4E4F"/>
    <w:rsid w:val="00AB4F8A"/>
    <w:rsid w:val="00AB52BD"/>
    <w:rsid w:val="00AB55A8"/>
    <w:rsid w:val="00AB56D4"/>
    <w:rsid w:val="00AB58E6"/>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E9E"/>
    <w:rsid w:val="00AB7FCB"/>
    <w:rsid w:val="00AC006D"/>
    <w:rsid w:val="00AC0095"/>
    <w:rsid w:val="00AC052E"/>
    <w:rsid w:val="00AC0585"/>
    <w:rsid w:val="00AC068F"/>
    <w:rsid w:val="00AC0705"/>
    <w:rsid w:val="00AC0740"/>
    <w:rsid w:val="00AC080D"/>
    <w:rsid w:val="00AC0D28"/>
    <w:rsid w:val="00AC0F3F"/>
    <w:rsid w:val="00AC109B"/>
    <w:rsid w:val="00AC1184"/>
    <w:rsid w:val="00AC12BC"/>
    <w:rsid w:val="00AC194E"/>
    <w:rsid w:val="00AC1E35"/>
    <w:rsid w:val="00AC22FA"/>
    <w:rsid w:val="00AC25EE"/>
    <w:rsid w:val="00AC268E"/>
    <w:rsid w:val="00AC2EC3"/>
    <w:rsid w:val="00AC32FC"/>
    <w:rsid w:val="00AC3E0A"/>
    <w:rsid w:val="00AC44FC"/>
    <w:rsid w:val="00AC47A7"/>
    <w:rsid w:val="00AC4803"/>
    <w:rsid w:val="00AC4903"/>
    <w:rsid w:val="00AC506A"/>
    <w:rsid w:val="00AC5243"/>
    <w:rsid w:val="00AC5548"/>
    <w:rsid w:val="00AC576F"/>
    <w:rsid w:val="00AC5C62"/>
    <w:rsid w:val="00AC63D7"/>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D2A"/>
    <w:rsid w:val="00AD4E90"/>
    <w:rsid w:val="00AD542F"/>
    <w:rsid w:val="00AD54D4"/>
    <w:rsid w:val="00AD5767"/>
    <w:rsid w:val="00AD57E2"/>
    <w:rsid w:val="00AD5854"/>
    <w:rsid w:val="00AD5BEB"/>
    <w:rsid w:val="00AD60F6"/>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2160"/>
    <w:rsid w:val="00B021DB"/>
    <w:rsid w:val="00B02579"/>
    <w:rsid w:val="00B026C1"/>
    <w:rsid w:val="00B02827"/>
    <w:rsid w:val="00B02B9C"/>
    <w:rsid w:val="00B032E9"/>
    <w:rsid w:val="00B0353B"/>
    <w:rsid w:val="00B03701"/>
    <w:rsid w:val="00B03B08"/>
    <w:rsid w:val="00B03D87"/>
    <w:rsid w:val="00B040B2"/>
    <w:rsid w:val="00B0471F"/>
    <w:rsid w:val="00B04BD3"/>
    <w:rsid w:val="00B04D1D"/>
    <w:rsid w:val="00B04D49"/>
    <w:rsid w:val="00B0524A"/>
    <w:rsid w:val="00B05369"/>
    <w:rsid w:val="00B05477"/>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FCC"/>
    <w:rsid w:val="00B13372"/>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E"/>
    <w:rsid w:val="00B31132"/>
    <w:rsid w:val="00B31246"/>
    <w:rsid w:val="00B313F4"/>
    <w:rsid w:val="00B3174D"/>
    <w:rsid w:val="00B317F3"/>
    <w:rsid w:val="00B31983"/>
    <w:rsid w:val="00B319EB"/>
    <w:rsid w:val="00B31AA6"/>
    <w:rsid w:val="00B31CB3"/>
    <w:rsid w:val="00B31DBF"/>
    <w:rsid w:val="00B3262E"/>
    <w:rsid w:val="00B326FF"/>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80"/>
    <w:rsid w:val="00B3597E"/>
    <w:rsid w:val="00B35C82"/>
    <w:rsid w:val="00B35CDA"/>
    <w:rsid w:val="00B35D87"/>
    <w:rsid w:val="00B360A9"/>
    <w:rsid w:val="00B36179"/>
    <w:rsid w:val="00B36294"/>
    <w:rsid w:val="00B36664"/>
    <w:rsid w:val="00B366FF"/>
    <w:rsid w:val="00B36F3A"/>
    <w:rsid w:val="00B36F94"/>
    <w:rsid w:val="00B36FB5"/>
    <w:rsid w:val="00B374D3"/>
    <w:rsid w:val="00B378CF"/>
    <w:rsid w:val="00B37948"/>
    <w:rsid w:val="00B37A60"/>
    <w:rsid w:val="00B37D97"/>
    <w:rsid w:val="00B40252"/>
    <w:rsid w:val="00B40594"/>
    <w:rsid w:val="00B4060E"/>
    <w:rsid w:val="00B40707"/>
    <w:rsid w:val="00B4077E"/>
    <w:rsid w:val="00B409EB"/>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FB"/>
    <w:rsid w:val="00B439D3"/>
    <w:rsid w:val="00B43C48"/>
    <w:rsid w:val="00B43CB9"/>
    <w:rsid w:val="00B44486"/>
    <w:rsid w:val="00B44773"/>
    <w:rsid w:val="00B44A7D"/>
    <w:rsid w:val="00B44D54"/>
    <w:rsid w:val="00B44F99"/>
    <w:rsid w:val="00B453B6"/>
    <w:rsid w:val="00B4570F"/>
    <w:rsid w:val="00B45876"/>
    <w:rsid w:val="00B458A1"/>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CE"/>
    <w:rsid w:val="00B514B5"/>
    <w:rsid w:val="00B51542"/>
    <w:rsid w:val="00B5168C"/>
    <w:rsid w:val="00B51B51"/>
    <w:rsid w:val="00B51D1D"/>
    <w:rsid w:val="00B51F9D"/>
    <w:rsid w:val="00B5262A"/>
    <w:rsid w:val="00B52A47"/>
    <w:rsid w:val="00B52BD1"/>
    <w:rsid w:val="00B52E84"/>
    <w:rsid w:val="00B52FA9"/>
    <w:rsid w:val="00B5310E"/>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600C"/>
    <w:rsid w:val="00B6648C"/>
    <w:rsid w:val="00B6649B"/>
    <w:rsid w:val="00B6674B"/>
    <w:rsid w:val="00B6674F"/>
    <w:rsid w:val="00B66C00"/>
    <w:rsid w:val="00B66C30"/>
    <w:rsid w:val="00B66C53"/>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8F4"/>
    <w:rsid w:val="00B81934"/>
    <w:rsid w:val="00B81B9A"/>
    <w:rsid w:val="00B81BC9"/>
    <w:rsid w:val="00B81D54"/>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E81"/>
    <w:rsid w:val="00B83FFB"/>
    <w:rsid w:val="00B84440"/>
    <w:rsid w:val="00B84511"/>
    <w:rsid w:val="00B8459A"/>
    <w:rsid w:val="00B84873"/>
    <w:rsid w:val="00B849C9"/>
    <w:rsid w:val="00B84CB4"/>
    <w:rsid w:val="00B84D9B"/>
    <w:rsid w:val="00B85087"/>
    <w:rsid w:val="00B853BE"/>
    <w:rsid w:val="00B85874"/>
    <w:rsid w:val="00B85CC3"/>
    <w:rsid w:val="00B863D1"/>
    <w:rsid w:val="00B86476"/>
    <w:rsid w:val="00B86932"/>
    <w:rsid w:val="00B86A3D"/>
    <w:rsid w:val="00B86BF9"/>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F02"/>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1FCE"/>
    <w:rsid w:val="00BA2354"/>
    <w:rsid w:val="00BA271B"/>
    <w:rsid w:val="00BA289E"/>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D9"/>
    <w:rsid w:val="00BD2B45"/>
    <w:rsid w:val="00BD2F3B"/>
    <w:rsid w:val="00BD3297"/>
    <w:rsid w:val="00BD3372"/>
    <w:rsid w:val="00BD3430"/>
    <w:rsid w:val="00BD3554"/>
    <w:rsid w:val="00BD3D9B"/>
    <w:rsid w:val="00BD3E2F"/>
    <w:rsid w:val="00BD3F4B"/>
    <w:rsid w:val="00BD4D20"/>
    <w:rsid w:val="00BD4FC8"/>
    <w:rsid w:val="00BD50AA"/>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6DD"/>
    <w:rsid w:val="00BE79FB"/>
    <w:rsid w:val="00BE7C4D"/>
    <w:rsid w:val="00BE7F6A"/>
    <w:rsid w:val="00BF0177"/>
    <w:rsid w:val="00BF0274"/>
    <w:rsid w:val="00BF02A6"/>
    <w:rsid w:val="00BF02D7"/>
    <w:rsid w:val="00BF08C4"/>
    <w:rsid w:val="00BF0995"/>
    <w:rsid w:val="00BF0BAF"/>
    <w:rsid w:val="00BF0C4E"/>
    <w:rsid w:val="00BF0F9D"/>
    <w:rsid w:val="00BF1116"/>
    <w:rsid w:val="00BF1842"/>
    <w:rsid w:val="00BF19CE"/>
    <w:rsid w:val="00BF227B"/>
    <w:rsid w:val="00BF22C7"/>
    <w:rsid w:val="00BF2473"/>
    <w:rsid w:val="00BF282E"/>
    <w:rsid w:val="00BF2B6F"/>
    <w:rsid w:val="00BF2FD2"/>
    <w:rsid w:val="00BF3080"/>
    <w:rsid w:val="00BF319D"/>
    <w:rsid w:val="00BF326C"/>
    <w:rsid w:val="00BF351A"/>
    <w:rsid w:val="00BF36A2"/>
    <w:rsid w:val="00BF3711"/>
    <w:rsid w:val="00BF3914"/>
    <w:rsid w:val="00BF397A"/>
    <w:rsid w:val="00BF39CD"/>
    <w:rsid w:val="00BF3B56"/>
    <w:rsid w:val="00BF3E3D"/>
    <w:rsid w:val="00BF4123"/>
    <w:rsid w:val="00BF49B1"/>
    <w:rsid w:val="00BF5101"/>
    <w:rsid w:val="00BF5285"/>
    <w:rsid w:val="00BF532A"/>
    <w:rsid w:val="00BF5552"/>
    <w:rsid w:val="00BF5EAE"/>
    <w:rsid w:val="00BF60E2"/>
    <w:rsid w:val="00BF616A"/>
    <w:rsid w:val="00BF66A8"/>
    <w:rsid w:val="00BF6735"/>
    <w:rsid w:val="00BF7243"/>
    <w:rsid w:val="00BF7395"/>
    <w:rsid w:val="00BF73F2"/>
    <w:rsid w:val="00BF79FC"/>
    <w:rsid w:val="00C0076C"/>
    <w:rsid w:val="00C009CB"/>
    <w:rsid w:val="00C01312"/>
    <w:rsid w:val="00C01671"/>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5EF8"/>
    <w:rsid w:val="00C064AA"/>
    <w:rsid w:val="00C06933"/>
    <w:rsid w:val="00C06E7D"/>
    <w:rsid w:val="00C06F8D"/>
    <w:rsid w:val="00C06FA2"/>
    <w:rsid w:val="00C06FB7"/>
    <w:rsid w:val="00C070CF"/>
    <w:rsid w:val="00C076CB"/>
    <w:rsid w:val="00C07B77"/>
    <w:rsid w:val="00C07C9D"/>
    <w:rsid w:val="00C07E70"/>
    <w:rsid w:val="00C10B35"/>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3D5"/>
    <w:rsid w:val="00C20A00"/>
    <w:rsid w:val="00C20BA3"/>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4200"/>
    <w:rsid w:val="00C242A8"/>
    <w:rsid w:val="00C243F3"/>
    <w:rsid w:val="00C24545"/>
    <w:rsid w:val="00C246D4"/>
    <w:rsid w:val="00C24D5A"/>
    <w:rsid w:val="00C24E78"/>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296"/>
    <w:rsid w:val="00C2742C"/>
    <w:rsid w:val="00C274E8"/>
    <w:rsid w:val="00C277FD"/>
    <w:rsid w:val="00C27C65"/>
    <w:rsid w:val="00C27F80"/>
    <w:rsid w:val="00C30976"/>
    <w:rsid w:val="00C30EB8"/>
    <w:rsid w:val="00C30FF6"/>
    <w:rsid w:val="00C31934"/>
    <w:rsid w:val="00C319AD"/>
    <w:rsid w:val="00C31F04"/>
    <w:rsid w:val="00C325F0"/>
    <w:rsid w:val="00C32994"/>
    <w:rsid w:val="00C32B82"/>
    <w:rsid w:val="00C32CE6"/>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D58"/>
    <w:rsid w:val="00C570F7"/>
    <w:rsid w:val="00C5752A"/>
    <w:rsid w:val="00C575E3"/>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2E5"/>
    <w:rsid w:val="00C636E6"/>
    <w:rsid w:val="00C639D6"/>
    <w:rsid w:val="00C63A5F"/>
    <w:rsid w:val="00C63C6A"/>
    <w:rsid w:val="00C63D20"/>
    <w:rsid w:val="00C63EA2"/>
    <w:rsid w:val="00C63F8E"/>
    <w:rsid w:val="00C647E7"/>
    <w:rsid w:val="00C647FB"/>
    <w:rsid w:val="00C648A2"/>
    <w:rsid w:val="00C654E0"/>
    <w:rsid w:val="00C65589"/>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BBE"/>
    <w:rsid w:val="00C74A5A"/>
    <w:rsid w:val="00C74CCF"/>
    <w:rsid w:val="00C74D37"/>
    <w:rsid w:val="00C750CF"/>
    <w:rsid w:val="00C751FE"/>
    <w:rsid w:val="00C75539"/>
    <w:rsid w:val="00C75812"/>
    <w:rsid w:val="00C75A6B"/>
    <w:rsid w:val="00C75F26"/>
    <w:rsid w:val="00C7615D"/>
    <w:rsid w:val="00C763B6"/>
    <w:rsid w:val="00C763BE"/>
    <w:rsid w:val="00C7644F"/>
    <w:rsid w:val="00C764E2"/>
    <w:rsid w:val="00C76528"/>
    <w:rsid w:val="00C765A0"/>
    <w:rsid w:val="00C768F6"/>
    <w:rsid w:val="00C76A1F"/>
    <w:rsid w:val="00C77965"/>
    <w:rsid w:val="00C77A1D"/>
    <w:rsid w:val="00C77C58"/>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60D"/>
    <w:rsid w:val="00C95854"/>
    <w:rsid w:val="00C95D33"/>
    <w:rsid w:val="00C95D41"/>
    <w:rsid w:val="00C95EFF"/>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49"/>
    <w:rsid w:val="00CA5479"/>
    <w:rsid w:val="00CA54D4"/>
    <w:rsid w:val="00CA5712"/>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4695"/>
    <w:rsid w:val="00CB4729"/>
    <w:rsid w:val="00CB4A33"/>
    <w:rsid w:val="00CB4B2C"/>
    <w:rsid w:val="00CB4B3E"/>
    <w:rsid w:val="00CB50C9"/>
    <w:rsid w:val="00CB51F5"/>
    <w:rsid w:val="00CB5310"/>
    <w:rsid w:val="00CB591E"/>
    <w:rsid w:val="00CB592F"/>
    <w:rsid w:val="00CB595E"/>
    <w:rsid w:val="00CB5AE7"/>
    <w:rsid w:val="00CB5B1E"/>
    <w:rsid w:val="00CB5B37"/>
    <w:rsid w:val="00CB5DF0"/>
    <w:rsid w:val="00CB5FFB"/>
    <w:rsid w:val="00CB606D"/>
    <w:rsid w:val="00CB6287"/>
    <w:rsid w:val="00CB62D0"/>
    <w:rsid w:val="00CB6589"/>
    <w:rsid w:val="00CB677E"/>
    <w:rsid w:val="00CB692D"/>
    <w:rsid w:val="00CB6D7E"/>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422"/>
    <w:rsid w:val="00CE74C7"/>
    <w:rsid w:val="00CE75E5"/>
    <w:rsid w:val="00CE76D2"/>
    <w:rsid w:val="00CE78AE"/>
    <w:rsid w:val="00CE7AD2"/>
    <w:rsid w:val="00CE7B8F"/>
    <w:rsid w:val="00CE7E62"/>
    <w:rsid w:val="00CF00FB"/>
    <w:rsid w:val="00CF0314"/>
    <w:rsid w:val="00CF0333"/>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53"/>
    <w:rsid w:val="00CF2EB4"/>
    <w:rsid w:val="00CF304C"/>
    <w:rsid w:val="00CF30F9"/>
    <w:rsid w:val="00CF353B"/>
    <w:rsid w:val="00CF3789"/>
    <w:rsid w:val="00CF409E"/>
    <w:rsid w:val="00CF4247"/>
    <w:rsid w:val="00CF44CE"/>
    <w:rsid w:val="00CF4AA6"/>
    <w:rsid w:val="00CF4ED7"/>
    <w:rsid w:val="00CF5263"/>
    <w:rsid w:val="00CF60B5"/>
    <w:rsid w:val="00CF611C"/>
    <w:rsid w:val="00CF6265"/>
    <w:rsid w:val="00CF6355"/>
    <w:rsid w:val="00CF6C71"/>
    <w:rsid w:val="00CF7076"/>
    <w:rsid w:val="00CF731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16D"/>
    <w:rsid w:val="00D0247F"/>
    <w:rsid w:val="00D02580"/>
    <w:rsid w:val="00D0285F"/>
    <w:rsid w:val="00D02AB3"/>
    <w:rsid w:val="00D02F03"/>
    <w:rsid w:val="00D02FE8"/>
    <w:rsid w:val="00D03000"/>
    <w:rsid w:val="00D03102"/>
    <w:rsid w:val="00D0319B"/>
    <w:rsid w:val="00D03356"/>
    <w:rsid w:val="00D03534"/>
    <w:rsid w:val="00D035D4"/>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20004"/>
    <w:rsid w:val="00D20013"/>
    <w:rsid w:val="00D20243"/>
    <w:rsid w:val="00D2084D"/>
    <w:rsid w:val="00D20B8B"/>
    <w:rsid w:val="00D20D28"/>
    <w:rsid w:val="00D212E6"/>
    <w:rsid w:val="00D215AC"/>
    <w:rsid w:val="00D2162C"/>
    <w:rsid w:val="00D2192B"/>
    <w:rsid w:val="00D21A3C"/>
    <w:rsid w:val="00D22342"/>
    <w:rsid w:val="00D22ABA"/>
    <w:rsid w:val="00D22AEC"/>
    <w:rsid w:val="00D22C56"/>
    <w:rsid w:val="00D22CEE"/>
    <w:rsid w:val="00D230E4"/>
    <w:rsid w:val="00D23125"/>
    <w:rsid w:val="00D233F1"/>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475"/>
    <w:rsid w:val="00D35513"/>
    <w:rsid w:val="00D35672"/>
    <w:rsid w:val="00D35E7C"/>
    <w:rsid w:val="00D36234"/>
    <w:rsid w:val="00D36371"/>
    <w:rsid w:val="00D366E5"/>
    <w:rsid w:val="00D36A61"/>
    <w:rsid w:val="00D36D63"/>
    <w:rsid w:val="00D3786D"/>
    <w:rsid w:val="00D37870"/>
    <w:rsid w:val="00D37A2E"/>
    <w:rsid w:val="00D37B77"/>
    <w:rsid w:val="00D37F2B"/>
    <w:rsid w:val="00D40246"/>
    <w:rsid w:val="00D404C3"/>
    <w:rsid w:val="00D40BF7"/>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60463"/>
    <w:rsid w:val="00D60854"/>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7010B"/>
    <w:rsid w:val="00D702EA"/>
    <w:rsid w:val="00D7037A"/>
    <w:rsid w:val="00D703F5"/>
    <w:rsid w:val="00D70640"/>
    <w:rsid w:val="00D709C0"/>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B65"/>
    <w:rsid w:val="00D74E1D"/>
    <w:rsid w:val="00D74EB0"/>
    <w:rsid w:val="00D751FB"/>
    <w:rsid w:val="00D754D6"/>
    <w:rsid w:val="00D755EB"/>
    <w:rsid w:val="00D761AA"/>
    <w:rsid w:val="00D7675C"/>
    <w:rsid w:val="00D76C5E"/>
    <w:rsid w:val="00D76D18"/>
    <w:rsid w:val="00D76ED6"/>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984"/>
    <w:rsid w:val="00D90CD3"/>
    <w:rsid w:val="00D90D1A"/>
    <w:rsid w:val="00D90F99"/>
    <w:rsid w:val="00D91139"/>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4FC9"/>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4CA"/>
    <w:rsid w:val="00DB7FD6"/>
    <w:rsid w:val="00DC0F00"/>
    <w:rsid w:val="00DC1327"/>
    <w:rsid w:val="00DC1350"/>
    <w:rsid w:val="00DC1356"/>
    <w:rsid w:val="00DC14C7"/>
    <w:rsid w:val="00DC16BC"/>
    <w:rsid w:val="00DC2406"/>
    <w:rsid w:val="00DC2474"/>
    <w:rsid w:val="00DC2504"/>
    <w:rsid w:val="00DC2555"/>
    <w:rsid w:val="00DC26DC"/>
    <w:rsid w:val="00DC2722"/>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314"/>
    <w:rsid w:val="00DE1963"/>
    <w:rsid w:val="00DE1BCE"/>
    <w:rsid w:val="00DE1E03"/>
    <w:rsid w:val="00DE2020"/>
    <w:rsid w:val="00DE20E5"/>
    <w:rsid w:val="00DE219B"/>
    <w:rsid w:val="00DE22DA"/>
    <w:rsid w:val="00DE2521"/>
    <w:rsid w:val="00DE2AC3"/>
    <w:rsid w:val="00DE2F3C"/>
    <w:rsid w:val="00DE338C"/>
    <w:rsid w:val="00DE376F"/>
    <w:rsid w:val="00DE3C2D"/>
    <w:rsid w:val="00DE3FD6"/>
    <w:rsid w:val="00DE4451"/>
    <w:rsid w:val="00DE463D"/>
    <w:rsid w:val="00DE499E"/>
    <w:rsid w:val="00DE4C02"/>
    <w:rsid w:val="00DE5169"/>
    <w:rsid w:val="00DE52E3"/>
    <w:rsid w:val="00DE5343"/>
    <w:rsid w:val="00DE65AD"/>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B2"/>
    <w:rsid w:val="00E11654"/>
    <w:rsid w:val="00E11C29"/>
    <w:rsid w:val="00E12CBA"/>
    <w:rsid w:val="00E13701"/>
    <w:rsid w:val="00E13A42"/>
    <w:rsid w:val="00E14028"/>
    <w:rsid w:val="00E14A7E"/>
    <w:rsid w:val="00E14BFA"/>
    <w:rsid w:val="00E14C25"/>
    <w:rsid w:val="00E14C80"/>
    <w:rsid w:val="00E14E67"/>
    <w:rsid w:val="00E1504F"/>
    <w:rsid w:val="00E151E1"/>
    <w:rsid w:val="00E153A6"/>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EE9"/>
    <w:rsid w:val="00E22589"/>
    <w:rsid w:val="00E2272C"/>
    <w:rsid w:val="00E22731"/>
    <w:rsid w:val="00E22911"/>
    <w:rsid w:val="00E22CCD"/>
    <w:rsid w:val="00E22F07"/>
    <w:rsid w:val="00E2303E"/>
    <w:rsid w:val="00E23154"/>
    <w:rsid w:val="00E233BE"/>
    <w:rsid w:val="00E23455"/>
    <w:rsid w:val="00E239E7"/>
    <w:rsid w:val="00E23A11"/>
    <w:rsid w:val="00E23B10"/>
    <w:rsid w:val="00E23C46"/>
    <w:rsid w:val="00E23DC1"/>
    <w:rsid w:val="00E23FB7"/>
    <w:rsid w:val="00E2463F"/>
    <w:rsid w:val="00E24A27"/>
    <w:rsid w:val="00E24DE1"/>
    <w:rsid w:val="00E25397"/>
    <w:rsid w:val="00E25626"/>
    <w:rsid w:val="00E25911"/>
    <w:rsid w:val="00E25C31"/>
    <w:rsid w:val="00E25CFA"/>
    <w:rsid w:val="00E25F89"/>
    <w:rsid w:val="00E26080"/>
    <w:rsid w:val="00E26597"/>
    <w:rsid w:val="00E26637"/>
    <w:rsid w:val="00E2699F"/>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F38"/>
    <w:rsid w:val="00E3735D"/>
    <w:rsid w:val="00E373A2"/>
    <w:rsid w:val="00E37602"/>
    <w:rsid w:val="00E37665"/>
    <w:rsid w:val="00E37E69"/>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9ED"/>
    <w:rsid w:val="00E435B1"/>
    <w:rsid w:val="00E436B8"/>
    <w:rsid w:val="00E43DEF"/>
    <w:rsid w:val="00E43F37"/>
    <w:rsid w:val="00E4445D"/>
    <w:rsid w:val="00E444C6"/>
    <w:rsid w:val="00E44593"/>
    <w:rsid w:val="00E445C1"/>
    <w:rsid w:val="00E44B67"/>
    <w:rsid w:val="00E44D1B"/>
    <w:rsid w:val="00E450ED"/>
    <w:rsid w:val="00E45289"/>
    <w:rsid w:val="00E45403"/>
    <w:rsid w:val="00E4556C"/>
    <w:rsid w:val="00E45815"/>
    <w:rsid w:val="00E45AB2"/>
    <w:rsid w:val="00E45C47"/>
    <w:rsid w:val="00E4615D"/>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2041"/>
    <w:rsid w:val="00E523EA"/>
    <w:rsid w:val="00E52435"/>
    <w:rsid w:val="00E52990"/>
    <w:rsid w:val="00E52AB0"/>
    <w:rsid w:val="00E52F5E"/>
    <w:rsid w:val="00E53122"/>
    <w:rsid w:val="00E5339F"/>
    <w:rsid w:val="00E534B9"/>
    <w:rsid w:val="00E5351B"/>
    <w:rsid w:val="00E536C4"/>
    <w:rsid w:val="00E53941"/>
    <w:rsid w:val="00E53AC6"/>
    <w:rsid w:val="00E53BDC"/>
    <w:rsid w:val="00E53CAC"/>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84D"/>
    <w:rsid w:val="00E64BA2"/>
    <w:rsid w:val="00E64C8C"/>
    <w:rsid w:val="00E64C99"/>
    <w:rsid w:val="00E64CD3"/>
    <w:rsid w:val="00E652E2"/>
    <w:rsid w:val="00E65512"/>
    <w:rsid w:val="00E65523"/>
    <w:rsid w:val="00E659A0"/>
    <w:rsid w:val="00E65DEE"/>
    <w:rsid w:val="00E664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514"/>
    <w:rsid w:val="00E8056A"/>
    <w:rsid w:val="00E80A4B"/>
    <w:rsid w:val="00E80E5B"/>
    <w:rsid w:val="00E81286"/>
    <w:rsid w:val="00E8149B"/>
    <w:rsid w:val="00E816C5"/>
    <w:rsid w:val="00E81837"/>
    <w:rsid w:val="00E81CE0"/>
    <w:rsid w:val="00E81E7C"/>
    <w:rsid w:val="00E82077"/>
    <w:rsid w:val="00E8224D"/>
    <w:rsid w:val="00E82862"/>
    <w:rsid w:val="00E83032"/>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4A"/>
    <w:rsid w:val="00E86A5B"/>
    <w:rsid w:val="00E86DCC"/>
    <w:rsid w:val="00E86E3C"/>
    <w:rsid w:val="00E86E6D"/>
    <w:rsid w:val="00E871C3"/>
    <w:rsid w:val="00E87248"/>
    <w:rsid w:val="00E87AF7"/>
    <w:rsid w:val="00E90279"/>
    <w:rsid w:val="00E90372"/>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71A3"/>
    <w:rsid w:val="00E974AD"/>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E19"/>
    <w:rsid w:val="00EA7019"/>
    <w:rsid w:val="00EA73FC"/>
    <w:rsid w:val="00EA7500"/>
    <w:rsid w:val="00EA7C37"/>
    <w:rsid w:val="00EA7D84"/>
    <w:rsid w:val="00EA7E86"/>
    <w:rsid w:val="00EA7FCF"/>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25D2"/>
    <w:rsid w:val="00EC2D80"/>
    <w:rsid w:val="00EC2DF9"/>
    <w:rsid w:val="00EC2E2D"/>
    <w:rsid w:val="00EC34C3"/>
    <w:rsid w:val="00EC39F4"/>
    <w:rsid w:val="00EC3B64"/>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726"/>
    <w:rsid w:val="00EF4CD6"/>
    <w:rsid w:val="00EF50DE"/>
    <w:rsid w:val="00EF5458"/>
    <w:rsid w:val="00EF55A0"/>
    <w:rsid w:val="00EF6073"/>
    <w:rsid w:val="00EF60B7"/>
    <w:rsid w:val="00EF6289"/>
    <w:rsid w:val="00EF63D1"/>
    <w:rsid w:val="00EF6507"/>
    <w:rsid w:val="00EF6513"/>
    <w:rsid w:val="00EF6683"/>
    <w:rsid w:val="00EF69A9"/>
    <w:rsid w:val="00EF6A56"/>
    <w:rsid w:val="00EF6C31"/>
    <w:rsid w:val="00EF7002"/>
    <w:rsid w:val="00EF758A"/>
    <w:rsid w:val="00EF769B"/>
    <w:rsid w:val="00EF788F"/>
    <w:rsid w:val="00EF7C54"/>
    <w:rsid w:val="00EF7D1E"/>
    <w:rsid w:val="00F0009F"/>
    <w:rsid w:val="00F000A0"/>
    <w:rsid w:val="00F009DE"/>
    <w:rsid w:val="00F00C5D"/>
    <w:rsid w:val="00F0102B"/>
    <w:rsid w:val="00F0136C"/>
    <w:rsid w:val="00F0169A"/>
    <w:rsid w:val="00F0172B"/>
    <w:rsid w:val="00F01B42"/>
    <w:rsid w:val="00F01CA8"/>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A1B"/>
    <w:rsid w:val="00F05C23"/>
    <w:rsid w:val="00F05C89"/>
    <w:rsid w:val="00F05DFE"/>
    <w:rsid w:val="00F0628D"/>
    <w:rsid w:val="00F064D7"/>
    <w:rsid w:val="00F06532"/>
    <w:rsid w:val="00F06651"/>
    <w:rsid w:val="00F067F7"/>
    <w:rsid w:val="00F06A40"/>
    <w:rsid w:val="00F06C7E"/>
    <w:rsid w:val="00F06E8D"/>
    <w:rsid w:val="00F079C8"/>
    <w:rsid w:val="00F07DE6"/>
    <w:rsid w:val="00F10333"/>
    <w:rsid w:val="00F10377"/>
    <w:rsid w:val="00F10525"/>
    <w:rsid w:val="00F1056C"/>
    <w:rsid w:val="00F106B5"/>
    <w:rsid w:val="00F107F1"/>
    <w:rsid w:val="00F1093F"/>
    <w:rsid w:val="00F10E29"/>
    <w:rsid w:val="00F10FC1"/>
    <w:rsid w:val="00F110B9"/>
    <w:rsid w:val="00F112FD"/>
    <w:rsid w:val="00F1136E"/>
    <w:rsid w:val="00F11874"/>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DE"/>
    <w:rsid w:val="00F33D4F"/>
    <w:rsid w:val="00F33EDB"/>
    <w:rsid w:val="00F33FA8"/>
    <w:rsid w:val="00F346A0"/>
    <w:rsid w:val="00F34805"/>
    <w:rsid w:val="00F34BB7"/>
    <w:rsid w:val="00F34CD6"/>
    <w:rsid w:val="00F34D38"/>
    <w:rsid w:val="00F35070"/>
    <w:rsid w:val="00F351EE"/>
    <w:rsid w:val="00F35873"/>
    <w:rsid w:val="00F35920"/>
    <w:rsid w:val="00F364C3"/>
    <w:rsid w:val="00F366A5"/>
    <w:rsid w:val="00F36A5A"/>
    <w:rsid w:val="00F36C5F"/>
    <w:rsid w:val="00F36E8C"/>
    <w:rsid w:val="00F371D6"/>
    <w:rsid w:val="00F37259"/>
    <w:rsid w:val="00F37293"/>
    <w:rsid w:val="00F375D1"/>
    <w:rsid w:val="00F376F4"/>
    <w:rsid w:val="00F401A9"/>
    <w:rsid w:val="00F405A4"/>
    <w:rsid w:val="00F40F1D"/>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FB"/>
    <w:rsid w:val="00F44F3F"/>
    <w:rsid w:val="00F45947"/>
    <w:rsid w:val="00F45F46"/>
    <w:rsid w:val="00F45F9C"/>
    <w:rsid w:val="00F45FA4"/>
    <w:rsid w:val="00F465A5"/>
    <w:rsid w:val="00F469DB"/>
    <w:rsid w:val="00F46B61"/>
    <w:rsid w:val="00F46CFC"/>
    <w:rsid w:val="00F47271"/>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80039"/>
    <w:rsid w:val="00F80399"/>
    <w:rsid w:val="00F807E7"/>
    <w:rsid w:val="00F80A04"/>
    <w:rsid w:val="00F80EB3"/>
    <w:rsid w:val="00F812C8"/>
    <w:rsid w:val="00F8132D"/>
    <w:rsid w:val="00F814A5"/>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2326"/>
    <w:rsid w:val="00FA2348"/>
    <w:rsid w:val="00FA23B4"/>
    <w:rsid w:val="00FA27C8"/>
    <w:rsid w:val="00FA2B72"/>
    <w:rsid w:val="00FA2E67"/>
    <w:rsid w:val="00FA32BB"/>
    <w:rsid w:val="00FA341E"/>
    <w:rsid w:val="00FA3630"/>
    <w:rsid w:val="00FA3B4B"/>
    <w:rsid w:val="00FA3B76"/>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4338"/>
    <w:rsid w:val="00FB454F"/>
    <w:rsid w:val="00FB477E"/>
    <w:rsid w:val="00FB4C9C"/>
    <w:rsid w:val="00FB4E66"/>
    <w:rsid w:val="00FB5028"/>
    <w:rsid w:val="00FB5D6D"/>
    <w:rsid w:val="00FB6165"/>
    <w:rsid w:val="00FB61F8"/>
    <w:rsid w:val="00FB62B4"/>
    <w:rsid w:val="00FB635F"/>
    <w:rsid w:val="00FB64D6"/>
    <w:rsid w:val="00FB70FC"/>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4729"/>
    <w:rsid w:val="00FC47B1"/>
    <w:rsid w:val="00FC4A8C"/>
    <w:rsid w:val="00FC4ABA"/>
    <w:rsid w:val="00FC4C41"/>
    <w:rsid w:val="00FC5111"/>
    <w:rsid w:val="00FC5365"/>
    <w:rsid w:val="00FC53DB"/>
    <w:rsid w:val="00FC559B"/>
    <w:rsid w:val="00FC5CD8"/>
    <w:rsid w:val="00FC5F10"/>
    <w:rsid w:val="00FC5FC2"/>
    <w:rsid w:val="00FC6004"/>
    <w:rsid w:val="00FC6177"/>
    <w:rsid w:val="00FC62A8"/>
    <w:rsid w:val="00FC63D1"/>
    <w:rsid w:val="00FC644E"/>
    <w:rsid w:val="00FC6A34"/>
    <w:rsid w:val="00FC6AF4"/>
    <w:rsid w:val="00FC6CEE"/>
    <w:rsid w:val="00FC705A"/>
    <w:rsid w:val="00FC70B2"/>
    <w:rsid w:val="00FC70BA"/>
    <w:rsid w:val="00FC70D7"/>
    <w:rsid w:val="00FC734A"/>
    <w:rsid w:val="00FC73C3"/>
    <w:rsid w:val="00FC7528"/>
    <w:rsid w:val="00FC76D0"/>
    <w:rsid w:val="00FC7AB9"/>
    <w:rsid w:val="00FC7B7B"/>
    <w:rsid w:val="00FC7B87"/>
    <w:rsid w:val="00FC7F97"/>
    <w:rsid w:val="00FD0572"/>
    <w:rsid w:val="00FD08B2"/>
    <w:rsid w:val="00FD11BA"/>
    <w:rsid w:val="00FD1331"/>
    <w:rsid w:val="00FD14DC"/>
    <w:rsid w:val="00FD1601"/>
    <w:rsid w:val="00FD16BE"/>
    <w:rsid w:val="00FD17FA"/>
    <w:rsid w:val="00FD1A97"/>
    <w:rsid w:val="00FD20FD"/>
    <w:rsid w:val="00FD2495"/>
    <w:rsid w:val="00FD25E7"/>
    <w:rsid w:val="00FD2A02"/>
    <w:rsid w:val="00FD2D7B"/>
    <w:rsid w:val="00FD2EDF"/>
    <w:rsid w:val="00FD3070"/>
    <w:rsid w:val="00FD308F"/>
    <w:rsid w:val="00FD34C9"/>
    <w:rsid w:val="00FD361B"/>
    <w:rsid w:val="00FD37F6"/>
    <w:rsid w:val="00FD3EBB"/>
    <w:rsid w:val="00FD4589"/>
    <w:rsid w:val="00FD473E"/>
    <w:rsid w:val="00FD47E0"/>
    <w:rsid w:val="00FD4C09"/>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E4"/>
    <w:rsid w:val="00FE1EAB"/>
    <w:rsid w:val="00FE1EDC"/>
    <w:rsid w:val="00FE21F0"/>
    <w:rsid w:val="00FE2302"/>
    <w:rsid w:val="00FE2361"/>
    <w:rsid w:val="00FE2A72"/>
    <w:rsid w:val="00FE2AC8"/>
    <w:rsid w:val="00FE2AD3"/>
    <w:rsid w:val="00FE2B2C"/>
    <w:rsid w:val="00FE2DA0"/>
    <w:rsid w:val="00FE3465"/>
    <w:rsid w:val="00FE3595"/>
    <w:rsid w:val="00FE37CE"/>
    <w:rsid w:val="00FE39D6"/>
    <w:rsid w:val="00FE3D43"/>
    <w:rsid w:val="00FE3D62"/>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50A8"/>
    <w:rsid w:val="00FF571E"/>
    <w:rsid w:val="00FF5C78"/>
    <w:rsid w:val="00FF6108"/>
    <w:rsid w:val="00FF6182"/>
    <w:rsid w:val="00FF6978"/>
    <w:rsid w:val="00FF6BD1"/>
    <w:rsid w:val="00FF6CC0"/>
    <w:rsid w:val="00FF6FF7"/>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Alt+12"/>
    <w:basedOn w:val="a"/>
    <w:next w:val="a"/>
    <w:link w:val="11"/>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标题 91"/>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qForma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1"/>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table" w:customStyle="1" w:styleId="TableGrid1">
    <w:name w:val="TableGrid1"/>
    <w:basedOn w:val="a1"/>
    <w:next w:val="ad"/>
    <w:uiPriority w:val="59"/>
    <w:qFormat/>
    <w:rsid w:val="001B1492"/>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d"/>
    <w:uiPriority w:val="59"/>
    <w:qFormat/>
    <w:rsid w:val="006125F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link w:val="15"/>
    <w:qFormat/>
    <w:rsid w:val="00A44C54"/>
    <w:pPr>
      <w:numPr>
        <w:numId w:val="12"/>
      </w:numPr>
      <w:autoSpaceDE/>
      <w:autoSpaceDN/>
      <w:adjustRightInd/>
      <w:snapToGrid/>
      <w:spacing w:after="180"/>
      <w:jc w:val="left"/>
    </w:pPr>
    <w:rPr>
      <w:rFonts w:eastAsia="MS Mincho"/>
      <w:b/>
      <w:i/>
      <w:lang w:val="en-GB" w:eastAsia="ja-JP"/>
    </w:rPr>
  </w:style>
  <w:style w:type="paragraph" w:customStyle="1" w:styleId="24">
    <w:name w:val="样式2"/>
    <w:basedOn w:val="a"/>
    <w:link w:val="25"/>
    <w:qFormat/>
    <w:rsid w:val="00541ABD"/>
    <w:rPr>
      <w:rFonts w:eastAsia="MS Mincho"/>
      <w:b/>
      <w:i/>
      <w:lang w:val="en-GB" w:eastAsia="ja-JP"/>
    </w:rPr>
  </w:style>
  <w:style w:type="character" w:customStyle="1" w:styleId="15">
    <w:name w:val="样式1 字符"/>
    <w:basedOn w:val="a0"/>
    <w:link w:val="10"/>
    <w:rsid w:val="00A44C54"/>
    <w:rPr>
      <w:rFonts w:eastAsia="MS Mincho"/>
      <w:b/>
      <w:i/>
      <w:sz w:val="22"/>
      <w:szCs w:val="22"/>
      <w:lang w:val="en-GB" w:eastAsia="ja-JP"/>
    </w:rPr>
  </w:style>
  <w:style w:type="character" w:customStyle="1" w:styleId="25">
    <w:name w:val="样式2 字符"/>
    <w:basedOn w:val="a0"/>
    <w:link w:val="24"/>
    <w:rsid w:val="00541ABD"/>
    <w:rPr>
      <w:rFonts w:eastAsia="MS Mincho"/>
      <w:b/>
      <w:i/>
      <w:sz w:val="22"/>
      <w:szCs w:val="22"/>
      <w:lang w:val="en-GB" w:eastAsia="ja-JP"/>
    </w:rPr>
  </w:style>
  <w:style w:type="table" w:customStyle="1" w:styleId="TableGrid3">
    <w:name w:val="TableGrid3"/>
    <w:basedOn w:val="a1"/>
    <w:next w:val="ad"/>
    <w:qFormat/>
    <w:rsid w:val="0002046F"/>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d"/>
    <w:qFormat/>
    <w:rsid w:val="0002046F"/>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B7F4F-8454-426B-AB3E-ED410038F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3477</Words>
  <Characters>19819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张仲丹 (Zhongdan Zhang)</cp:lastModifiedBy>
  <cp:revision>2</cp:revision>
  <cp:lastPrinted>2015-03-27T14:25:00Z</cp:lastPrinted>
  <dcterms:created xsi:type="dcterms:W3CDTF">2023-04-07T11:42:00Z</dcterms:created>
  <dcterms:modified xsi:type="dcterms:W3CDTF">2023-04-07T11:42:00Z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